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2"/>
          <w:szCs w:val="32"/>
        </w:rPr>
        <w:t xml:space="preserve">聯發科（2454）券商觀點摘要</w:t>
      </w:r>
    </w:p>
    <w:p>
      <w:pPr>
        <w:spacing w:after="40"/>
        <w:jc w:val="center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2"/>
          <w:szCs w:val="22"/>
        </w:rPr>
        <w:t xml:space="preserve">2026 / 08 / 05　早盤場次　｜　資料來源：工商時報、FTNN</w:t>
      </w:r>
    </w:p>
    <w:p>
      <w:pPr>
        <w:spacing w:after="180"/>
        <w:jc w:val="center"/>
      </w:pPr>
      <w:r>
        <w:rPr>
          <w:rFonts w:ascii="Microsoft JhengHei" w:cs="Microsoft JhengHei" w:eastAsia="Microsoft JhengHei" w:hAnsi="Microsoft JhengHei"/>
          <w:b w:val="false"/>
          <w:bCs w:val="false"/>
          <w:color w:val="595959"/>
          <w:sz w:val="19"/>
          <w:szCs w:val="19"/>
        </w:rPr>
        <w:t xml:space="preserve">產業分類：IC 設計－手機 SoC／AI ASIC</w:t>
      </w:r>
    </w:p>
    <w:p>
      <w:pPr>
        <w:pBdr>
          <w:bottom w:val="single" w:color="1F3864" w:sz="6"/>
        </w:pBdr>
        <w:spacing w:after="100" w:before="22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一、評等與目標價摘要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  <w:gridCol w:w="3600"/>
      </w:tblGrid>
      <w:tr>
        <w:trPr>
          <w:tblHeader/>
        </w:trPr>
        <w:tc>
          <w:tcPr>
            <w:tcW w:type="dxa" w:w="15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券商</w:t>
            </w:r>
          </w:p>
        </w:tc>
        <w:tc>
          <w:tcPr>
            <w:tcW w:type="dxa" w:w="15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評等</w:t>
            </w:r>
          </w:p>
        </w:tc>
        <w:tc>
          <w:tcPr>
            <w:tcW w:type="dxa" w:w="15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目標價(新)</w:t>
            </w:r>
          </w:p>
        </w:tc>
        <w:tc>
          <w:tcPr>
            <w:tcW w:type="dxa" w:w="15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目標價(舊)</w:t>
            </w:r>
          </w:p>
        </w:tc>
        <w:tc>
          <w:tcPr>
            <w:tcW w:type="dxa" w:w="36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評價基準／備註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大和資本證券（外資）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買進（升評）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本則未列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法說報喜後升評，加入大摩、高盛多頭陣營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本土投顧（內資，未具名）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買進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5,400 元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未揭露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Q3 智慧裝置平台營收季增中高個位數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麥格理（外資，已收錄）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買進或優於大盤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10,000 元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外資圈最高，本欄為對照用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高盛／花旗（外資，8/3 已收錄）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買進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7,000／6,800 元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6,800／6,055 元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本欄為對照用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滙豐（外資，8/3 已收錄）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中立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4,250 元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2,605 元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評等最保守，本欄為對照用</w:t>
            </w:r>
          </w:p>
        </w:tc>
      </w:tr>
    </w:tbl>
    <w:p>
      <w:pPr>
        <w:spacing w:after="60"/>
      </w:pPr>
      <w:r>
        <w:rPr>
          <w:rFonts w:ascii="Microsoft JhengHei" w:cs="Microsoft JhengHei" w:eastAsia="Microsoft JhengHei" w:hAnsi="Microsoft JhengHei"/>
          <w:color w:val="595959"/>
          <w:sz w:val="18"/>
          <w:szCs w:val="18"/>
        </w:rPr>
        <w:t xml:space="preserve">註：本場次新增之本土投顧 5,400 元，與 8/4 已收錄之本土法人 5,625 元數字不同，研判為不同家投顧，兩者券商名稱皆未具名。目標價光譜由 4,250 元至 10,000 元，離散度極大。</w:t>
      </w:r>
    </w:p>
    <w:p>
      <w:pPr>
        <w:pBdr>
          <w:bottom w:val="single" w:color="1F3864" w:sz="6"/>
        </w:pBdr>
        <w:spacing w:after="100" w:before="22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二、投資論點</w:t>
      </w:r>
    </w:p>
    <w:p>
      <w:pPr>
        <w:spacing w:after="60"/>
        <w:ind w:left="220" w:hanging="20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・大和資本證券於法說會後升評「買進」，是本場次最重要的評等變化——外資多頭陣營再添一員，目前僅滙豐維持中立。</w:t>
      </w:r>
    </w:p>
    <w:p>
      <w:pPr>
        <w:spacing w:after="60"/>
        <w:ind w:left="220" w:hanging="20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・本土投顧觀察 Q3 營運結構：手機業務營收恐持平或下滑，但智慧裝置平台營收可望季增中高個位數，帶動整體營收維持成長、優於市場預期。這說明成長動能已由手機轉向非手機平台。</w:t>
      </w:r>
    </w:p>
    <w:p>
      <w:pPr>
        <w:spacing w:after="60"/>
        <w:ind w:left="220" w:hanging="20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・花旗環球指出，聯發科 AI 晶片布局已不再侷限於智慧機，而是進一步延伸至邊緣 AI 與企業運算；聯發科已將 AI ASIC 營收目標上調至 120～160 億美元。</w:t>
      </w:r>
    </w:p>
    <w:p>
      <w:pPr>
        <w:spacing w:after="60"/>
        <w:ind w:left="220" w:hanging="20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・聯發科名列花旗「半導體五天王」（台積電、聯電、日月光投控、聯發科、創意），花旗認為供應鏈上調展望與資本支出，再次印證 AI 基建投資仍處擴張初期。</w:t>
      </w:r>
    </w:p>
    <w:p>
      <w:pPr>
        <w:spacing w:after="60"/>
        <w:ind w:left="220" w:hanging="20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・前場次已收錄之關鍵預估：高盛估 2027 年 ASIC 營收 203 億美元、占總營收 48%，2028 年達 525 億美元、占 68%；高盛閉門會議另指 Humor Fish 專案 2027 年底至 2028 年量產，單價可望較現有專案提高 3～4 倍，市場看好 2028 年 EPS 有機會突破 400 元。</w:t>
      </w:r>
    </w:p>
    <w:p>
      <w:pPr>
        <w:pBdr>
          <w:bottom w:val="single" w:color="1F3864" w:sz="6"/>
        </w:pBdr>
        <w:spacing w:after="100" w:before="22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三、風險與觀察重點</w:t>
      </w:r>
    </w:p>
    <w:p>
      <w:pPr>
        <w:spacing w:after="60"/>
        <w:ind w:left="220" w:hanging="20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・手機業務 Q3 恐持平或下滑，本業基本盤已現疲態，整體成長高度依賴 AI ASIC 與智慧裝置平台接棒。</w:t>
      </w:r>
    </w:p>
    <w:p>
      <w:pPr>
        <w:spacing w:after="60"/>
        <w:ind w:left="220" w:hanging="20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・目標價離散度極大（4,250～10,000 元），滙豐維持中立的三大理由仍未消除：股價已部分反映明年 CoWoS 利多、2028 年來自英特爾 EMIB 的潛在成長空間待觀察、HBM 記憶體採購仍存不確定性。</w:t>
      </w:r>
    </w:p>
    <w:p>
      <w:pPr>
        <w:spacing w:after="60"/>
        <w:ind w:left="220" w:hanging="20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・大和資本與本土投顧的舊評等、舊目標價均未揭露；5,400 元與 5,625 元的券商歸屬亦未具名，數字待確認。</w:t>
      </w:r>
    </w:p>
    <w:p>
      <w:pPr>
        <w:spacing w:after="60"/>
        <w:ind w:left="220" w:hanging="20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・Google TPU 由 Zebrafish 升級至 Humufish 後 ASP 的實際漲幅具變數，將成影響 2028 年 ASIC 營收預估的關鍵（滙豐觀點）。</w:t>
      </w:r>
    </w:p>
    <w:p>
      <w:pPr>
        <w:spacing w:after="60"/>
        <w:ind w:left="220" w:hanging="20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・股價 8/3 跳空漲停至 3,910 元後，8/4 開高走低收 3,865 元、跌 1.15%，短線動能已見鈍化。</w:t>
      </w:r>
    </w:p>
    <w:p>
      <w:pPr>
        <w:pBdr>
          <w:bottom w:val="single" w:color="1F3864" w:sz="6"/>
        </w:pBdr>
        <w:spacing w:after="100" w:before="22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四、來源連結</w:t>
      </w:r>
    </w:p>
    <w:p>
      <w:pPr>
        <w:spacing w:after="60"/>
        <w:ind w:left="220" w:hanging="200"/>
      </w:pPr>
      <w:r>
        <w:rPr>
          <w:rFonts w:ascii="Microsoft JhengHei" w:cs="Microsoft JhengHei" w:eastAsia="Microsoft JhengHei" w:hAnsi="Microsoft JhengHei"/>
          <w:sz w:val="18"/>
          <w:szCs w:val="18"/>
        </w:rPr>
        <w:t xml:space="preserve">・工商時報 8/5｜AI 基建投資提速　台積電等半導體五天王外資力挺（大和資本升評）</w:t>
      </w:r>
    </w:p>
    <w:p>
      <w:pPr>
        <w:spacing w:after="80"/>
        <w:ind w:left="420"/>
      </w:pPr>
      <w:r>
        <w:rPr>
          <w:rFonts w:ascii="Microsoft JhengHei" w:cs="Microsoft JhengHei" w:eastAsia="Microsoft JhengHei" w:hAnsi="Microsoft JhengHei"/>
          <w:color w:val="0563C1"/>
          <w:sz w:val="16"/>
          <w:szCs w:val="16"/>
          <w:u w:val="single"/>
        </w:rPr>
        <w:t xml:space="preserve">https://www.ctee.com.tw/news/20260805700065-430201</w:t>
      </w:r>
    </w:p>
    <w:p>
      <w:pPr>
        <w:spacing w:after="60"/>
        <w:ind w:left="220" w:hanging="200"/>
      </w:pPr>
      <w:r>
        <w:rPr>
          <w:rFonts w:ascii="Microsoft JhengHei" w:cs="Microsoft JhengHei" w:eastAsia="Microsoft JhengHei" w:hAnsi="Microsoft JhengHei"/>
          <w:sz w:val="18"/>
          <w:szCs w:val="18"/>
        </w:rPr>
        <w:t xml:space="preserve">・FTNN 8/4｜聯發科（本土投顧 5,400 元）</w:t>
      </w:r>
    </w:p>
    <w:p>
      <w:pPr>
        <w:spacing w:after="80"/>
        <w:ind w:left="420"/>
      </w:pPr>
      <w:r>
        <w:rPr>
          <w:rFonts w:ascii="Microsoft JhengHei" w:cs="Microsoft JhengHei" w:eastAsia="Microsoft JhengHei" w:hAnsi="Microsoft JhengHei"/>
          <w:color w:val="0563C1"/>
          <w:sz w:val="16"/>
          <w:szCs w:val="16"/>
          <w:u w:val="single"/>
        </w:rPr>
        <w:t xml:space="preserve">https://www.ftnn.com.tw/news/567035</w:t>
      </w:r>
    </w:p>
    <w:p>
      <w:pPr>
        <w:spacing w:after="60"/>
        <w:ind w:left="220" w:hanging="200"/>
      </w:pPr>
      <w:r>
        <w:rPr>
          <w:rFonts w:ascii="Microsoft JhengHei" w:cs="Microsoft JhengHei" w:eastAsia="Microsoft JhengHei" w:hAnsi="Microsoft JhengHei"/>
          <w:sz w:val="18"/>
          <w:szCs w:val="18"/>
        </w:rPr>
        <w:t xml:space="preserve">・經濟日報 8/4｜花旗半導體產業報告</w:t>
      </w:r>
    </w:p>
    <w:p>
      <w:pPr>
        <w:spacing w:after="80"/>
        <w:ind w:left="420"/>
      </w:pPr>
      <w:r>
        <w:rPr>
          <w:rFonts w:ascii="Microsoft JhengHei" w:cs="Microsoft JhengHei" w:eastAsia="Microsoft JhengHei" w:hAnsi="Microsoft JhengHei"/>
          <w:color w:val="0563C1"/>
          <w:sz w:val="16"/>
          <w:szCs w:val="16"/>
          <w:u w:val="single"/>
        </w:rPr>
        <w:t xml:space="preserve">https://money.udn.com/money/story/5607/9670358</w:t>
      </w:r>
    </w:p>
    <w:p>
      <w:pPr>
        <w:spacing w:before="20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808080"/>
          <w:sz w:val="17"/>
          <w:szCs w:val="17"/>
        </w:rPr>
        <w:t xml:space="preserve">本摘要依公開新聞整理，非完整報告。</w:t>
      </w:r>
    </w:p>
    <w:sectPr>
      <w:headerReference w:type="default" r:id="rId9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2026-08-05T00:28:21.792Z</dcterms:created>
  <dcterms:modified xsi:type="dcterms:W3CDTF">2026-08-05T00:28:21.792Z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