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聯發科（2454）券商觀點摘要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法人（原文未具名）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法人（原文未具名）（內資）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聯發科（2454）　半導體－IC 設計（手機／AI ASIC）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強力買進（維持）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5,625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前值未載；為本場次最高絕對目標價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維持「強力買進」，目標價 5,625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今年 AI ASIC 出貨將達 60 萬顆以上，貢獻營收超過 20 億美元；CSP 客戶下一代客製化晶片量產落在 2028Q1。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估聯發科 AI 營收占比在 2027～2028 年超過手機，公司屬性由手機晶片廠轉向 AI 運算供應商。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・券商未具名，未載報告出具日期，未揭露 EPS 預估與本益比，5,625 元推導完全無法驗證。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・未揭露目標價前值，無法判斷屬調升、維持或下修。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・股價面：自 6/2 歷史天價 4,970 元已回落 19.11％，8/11 收 4,020 元（+1.52％），目標價相對現價隱含空間約 +40％，惟原文未提供推導。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・CSP 下一代客製化晶片量產在 2028Q1，時程偏遠，2026～2027 年成長仍需仰賴既有專案，遞延風險未討論。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・本則為權證版面稿件，性質上非獨立券商研究專稿。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https://www.ctee.com.tw/news/20260812700311-430203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