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 w:cs="Microsoft JhengHei"/>
          <w:b/>
          <w:color w:val="1F3864"/>
          <w:sz w:val="32"/>
        </w:rPr>
        <w:t>聯發科（2454）｜摩根士丹利 優於大盤 5,588 元（首選）｜併花旗 6,800、大和 5,200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color w:val="595959"/>
          <w:sz w:val="19"/>
        </w:rPr>
        <w:t>2026/09/02 早盤場次｜產業：IC 設計／AI ASIC｜事件：39 億美元 ECB 引進輝達（35 億美元）與 Alphabet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評等／目標價摘要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814"/>
            <w:shd w:val="clear" w:color="auto" w:fill="1F3864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券商</w:t>
            </w:r>
          </w:p>
        </w:tc>
        <w:tc>
          <w:tcPr>
            <w:tcW w:type="dxa" w:w="907"/>
            <w:shd w:val="clear" w:color="auto" w:fill="1F3864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外資/內資</w:t>
            </w:r>
          </w:p>
        </w:tc>
        <w:tc>
          <w:tcPr>
            <w:tcW w:type="dxa" w:w="1474"/>
            <w:shd w:val="clear" w:color="auto" w:fill="1F3864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評等</w:t>
            </w:r>
          </w:p>
        </w:tc>
        <w:tc>
          <w:tcPr>
            <w:tcW w:type="dxa" w:w="1247"/>
            <w:shd w:val="clear" w:color="auto" w:fill="1F3864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目標價（新）</w:t>
            </w:r>
          </w:p>
        </w:tc>
        <w:tc>
          <w:tcPr>
            <w:tcW w:type="dxa" w:w="1474"/>
            <w:shd w:val="clear" w:color="auto" w:fill="1F3864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目標價（舊）</w:t>
            </w:r>
          </w:p>
        </w:tc>
        <w:tc>
          <w:tcPr>
            <w:tcW w:type="dxa" w:w="2721"/>
            <w:shd w:val="clear" w:color="auto" w:fill="1F3864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日期／來源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摩根士丹利（詹家鴻）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外資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優於大盤（維持）＋首選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5,588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5,588（07/27 既有）</w:t>
            </w:r>
          </w:p>
        </w:tc>
        <w:tc>
          <w:tcPr>
            <w:tcW w:type="dxa" w:w="272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09/02 經濟日報 9728396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花旗環球（陳佳儀）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外資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買進（維持）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6,800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6,800（08/21 既有）</w:t>
            </w:r>
          </w:p>
        </w:tc>
        <w:tc>
          <w:tcPr>
            <w:tcW w:type="dxa" w:w="272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09/02 經濟日報 9728396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大和資本（徐禕成）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外資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買進（維持）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5,200（上調）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未載</w:t>
            </w:r>
          </w:p>
        </w:tc>
        <w:tc>
          <w:tcPr>
            <w:tcW w:type="dxa" w:w="272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08/31 工商時報 20260831700184</w:t>
            </w:r>
          </w:p>
        </w:tc>
      </w:tr>
    </w:tbl>
    <w:p/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論點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大摩三大利多：(1) 雖未調整 2027 年 ASIC 市場總額與市占率預測，但提高聯發科拿下第二家大型 CSP 客戶的機會，公司證實正與新客戶洽談；(2) ECB 資金用於晶片供應鏈，應含採購 HBM、ABF 載板與預付晶圓代工產能費，備料相關營收增加；(3) 與 Alphabet 在 TPU 合作更穩固，2028 年 ASIC 營收有上修空間。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輝達單獨投資 35 億美元，深化邊緣到雲端 AI 算力平台合作，範圍涵蓋多世代雲端 AI 工廠、區域／邊緣 AI、車用；聯發科可採用 NVLink Fusion 平台，協助客戶將 Custom XPU 整合至 NVLink 機架級系統。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花旗：輝達投資使聯發科成為極具競爭力的 AI ASIC 爭奪者，商機拓展至現有 Hyperscaler 專案之外；由手機 SoC 公司轉型 AI 運算平台，三個獨立 AI 成長引擎（Hyperscaler 客製 ASIC、輝達架構 AI PC／區域 AI、車用／實體 AI）。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大和（08/31，事件前）：Marvell–Google 8-K 不影響 TPU 核心，聯發科仍為 TPU v10 主要設計服務商；首個 Google 專案 Q4 放量、第二專案 2027 年底放量、第三 CSP 客戶 2028 下半年；合理股價上調至 5,200 元。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行情：09/01 跳空漲停 4,315 元一價到底，排隊買單逾 2.6 萬張。以 4,315 元回算：大摩 5,588 隱含 +29.5%、花旗 6,800 +57.6%、大和 5,200 +20.5%（本系統回算）。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風險／未載事項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大摩 5,588 與花旗 6,800 皆為既有目標價之重申，本次為事件後論點更新，非上調；原文未載報告日期。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大和 5,200 前值未載；三家分歧區間 5,200–6,800（差 30.8%）。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ECB 39 億美元轉換後有稀釋效應，原文未量化；黃仁勳否認「循環融資」但市場仍有疑慮（08/31 經濟日報）。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本則為新聞轉述非報告原文；輝達 09/01 美股 -1.5%、費半 -2.1%，短線情緒風險。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864"/>
          <w:sz w:val="22"/>
        </w:rPr>
        <w:t>來源連結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https://money.udn.com/money/story/5607/9728396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https://money.udn.com/money/story/5607/9727605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https://www.ctee.com.tw/news/20260831700184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color w:val="808080"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