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30"/>
        </w:rPr>
        <w:t>聯發科（2454）　個股摘要　2026/09/06</w:t>
      </w:r>
    </w:p>
    <w:p>
      <w:pPr>
        <w:spacing w:after="120" w:line="269" w:lineRule="auto"/>
      </w:pPr>
      <w:r>
        <w:rPr>
          <w:rFonts w:ascii="Microsoft JhengHei" w:hAnsi="Microsoft JhengHei" w:eastAsia="Microsoft JhengHei" w:cs="Microsoft JhengHei"/>
          <w:b w:val="0"/>
          <w:color w:val="808080"/>
          <w:sz w:val="19"/>
        </w:rPr>
        <w:t>券商：法人（★未具名，外資／內資未載）｜產業：半導體－IC 設計／AI ASIC｜見報：工商時報 2026/09/06 16:05（方明）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7938"/>
      </w:tblGrid>
      <w:tr>
        <w:tc>
          <w:tcPr>
            <w:tcW w:type="dxa" w:w="1928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793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強力買進（維持）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5,625 元（★原文未載前值）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評價基準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原文稱以 2027–2028 年平均 EPS 給予 25 倍本益比推算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預估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年約 66 元（年增 0.5%）／2027 年 121.05 元（+83.4%）／2028 年 256.7 元（+112%）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回算隱含空間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 09/04 收盤 4,415 元計，隱含約 +27.4%（本系統回算）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★數字勾稽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5,625 ÷ 25 倍＝隱含 EPS 約 225 元，與原文 2027／2028 平均 EPS 188.88 元不符，評價基準待確認（本系統回算）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既有紀錄序列</w:t>
            </w:r>
          </w:p>
        </w:tc>
        <w:tc>
          <w:tcPr>
            <w:tcW w:type="dxa" w:w="793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麥格理 10,000（09/01）／花旗 6,800／摩根大通 5,600／摩根士丹利 5,588／大和 5,200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・輝達重金入股聯發科，法人認為目的不只在 AI 與車用，更是藉投資策略夥伴把 NVLink 導入 CSP 的 ASIC 架構。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・形成「自己不做 ASIC，但掌握 ASIC 生態系」的布局；若聯發科 XPU 整合 NVLink，可望對抗博通 XPU＋OCS 架構。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・預估 2027–2028 年 AI 相關營收占比將超越手機，2028 年有機會突破整體營收的 50%。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・第四季 20 億美元 TPU 營收為既有預估維持不變，非本次新增動能。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三、風險與原文未載事項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9"/>
        </w:rPr>
        <w:t>・券商完全未具名，亦未載外資或內資，資訊層級應打折。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9"/>
        </w:rPr>
        <w:t>・未載前次目標價與前次評等日期，無法判定調升幅度。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9"/>
        </w:rPr>
        <w:t>・★目標價與所述評價基準回算不一致（詳上表），數字或評價基準其一有誤，列為查證項目。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9"/>
        </w:rPr>
        <w:t>・輝達入股的金額、持股比例與換股條件等細節原文未載。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9"/>
        </w:rPr>
        <w:t>・2028 年 EPS 256.7 元屬三年後預估，能見度低；以該長天期預估折算之目標價敏感度高。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2026/09/06 16:05　https://www.ctee.com.tw/news/20260906700462-430201</w:t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