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 w:cs="Microsoft JhengHei"/>
          <w:b/>
          <w:color w:val="1F3B73"/>
          <w:sz w:val="36"/>
        </w:rPr>
        <w:t>聯發科（2454）｜美系外資（★未具名）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2026/09/07 盤後場次　半導體 – IC 設計 / AI ASIC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6"/>
        </w:rPr>
        <w:t>一、評等與目標價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8051"/>
      </w:tblGrid>
      <w:tr>
        <w:tc>
          <w:tcPr>
            <w:tcW w:type="dxa" w:w="1701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050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★未具名，原文用詞「美系外資」「外資」「法人」／外資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★未載（原文僅稱「法人看好聯發科 AI 成長前景」）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7,000 元（原文稱「美系外資最高看至」；前值 ★未載）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當日股價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收 4,760 元（+345，+7.81%），盤中一度漲停 4,855 元，貢獻大盤近 186 點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上檔空間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以 4,760 元回算約 +47.1%（本系統回算）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既有序列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麥格理 10,000（09/01）｜法人 5,625（09/06）｜花旗 6,800｜摩根大通 5,600｜大摩 5,588｜大和 5,200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6"/>
        </w:rPr>
        <w:t>二、論點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1. 輝達斥資 35 億美元認購聯發科 39 億美元海外可轉換公司債（Alphabet 與其他機構參與其餘約 4 億美元），合作由 AI ASIC 延伸至機櫃級 AI 系統。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2. 聯發科導入 NVLink Fusion，並取得 NVLink、NVHBM 相關 IP 授權，爭取 CSP 的 AI ASIC 訂單競爭力顯著提升。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3. 首款 AI 加速器 ASIC 來自 Google，預計今年第 4 季量產；執行長蔡力行重申今年資料中心相關營收目標超過 20 億美元不變。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4. 外資認為若後續大型 CSP 專案持續落地，2028 年 ASIC 營收仍有上修空間。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6"/>
        </w:rPr>
        <w:t>三、風險與未揭露事項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★券商名稱、評等等級、前值目標價全數未揭露；7,000 元僅為「最高」一家，無中位數或家數分布，代表性有限。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★輝達認購案的持股比例、轉換價、轉換條件與是否稀釋 EPS 均未載。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本系統既有紀錄中，麥格理 10,000 元（09/01）已明顯高於本則 7,000 元，顯示市場預估發散度極大。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Q4 20 億美元資料中心營收為既有目標之重申，非新增上修。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09/06 場次已記錄「法人 5,625 元、25 倍本益比回算不符」之疑點，尚未結案。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來源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https://money.udn.com/money/story/5710/9738859（經濟日報 09/07 11:14）</w:t>
      </w:r>
    </w:p>
    <w:p>
      <w:pPr>
        <w:spacing w:before="160"/>
      </w:pPr>
      <w:r>
        <w:rPr>
          <w:rFonts w:ascii="Microsoft JhengHei" w:hAnsi="Microsoft JhengHei" w:eastAsia="Microsoft JhengHei" w:cs="Microsoft JhengHei"/>
          <w:b/>
          <w:color w:val="444444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