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聯茂（6213）券商觀點摘要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本土法人（原文未具名；股價數據標註兆豐證券）｜2026/08/13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本土法人（原文未具名；股價數據標註兆豐證券）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CCL 銅箔基板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未載評等文字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610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上修（原文載為上修，幅度不可計算）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上半年 EPS 4.39 元，已超越 2025 全年的 4.16 元；本益比未載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逐字：「其上半年每股純益（EPS）高達4.39元，超越去（2025）年全年4.16元，本土法人將其目標價上修到610元，帶動近期聯茂股價強勢」。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與同窗口統一投顧 550 元形成 10.9% 的分歧，且本則為未具名法人、統一投顧為具名分析師，資訊層級不同，權重應有差異。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股價：8/12 收 464 元、漲 12 元（+2.65%），成交 8,182 張；連 9 漲、9 日漲幅 93.74%，為當日強勢股王。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券商未具名，無法判斷研究品質與市場影響力；未載報告出具日期。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未給評等文字，僅有目標價；未揭露本益比與目標價對應年度，610 元推導完全無法驗證。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未載目標價前值，「上修」幅度無從計算。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本則主軸為股價強勢報導，券商觀點屬附帶提及，非獨立研究專稿。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連 9 漲、9 日漲 93.74% 後才見上修，屬股價驅動模型而非模型領先股價的典型追認型調整。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聯茂同日因當沖成交比重過高被列入證交所注意股。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FTNN 8/13 08:00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https://www.ftnn.com.tw/news/569451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旺得富 8/13 05:01｜統一投顧同檔 550 元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https://wantrich.chinatimes.com/news/20260813900003-420101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