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聯茂（6213）券商觀點摘要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統一投顧（分析師廖婉婷，具名）｜2026/08/13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統一投顧（分析師廖婉婷，具名）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CCL 銅箔基板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上調（原文未載評等文字）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550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上調（幅度不可計算）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原文未揭露 EPS 與本益比；依據為 7 月營收月增 12.71%、訂單外溢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統一投顧列為訂單外溢受惠者，7 月營收月增 12.71%。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本場次最重要的同股分歧：同一窗口內 FTNN 8/13 08:00 另載「本土法人」將聯茂目標價上修至 610 元，較統一投顧的 550 元高出 10.9%，兩者機構不同、數字不同，判讀時務必分開列示，不可合併為單一共識。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股價面：8/12 收 464 元、漲 2.65%，連 9 漲、9 日漲幅 93.74%，為當日強勢股王 —— 550 元較收盤價僅隱含約 18.5% 空間（本系統回推，非原文數字）。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原文未給評等文字，未載前值，上調幅度無法量化；未揭露 EPS 與本益比。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同窗口出現 550 元與 610 元兩個不同數字，市場共識分歧度達 10.9%，分歧來源兩篇原文皆未說明。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聯茂 8/13 同時因當沖比重過高被列入證交所注意股，短線籌碼過熱。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連 9 漲、9 日累計漲 93.74%，股價已大幅反映，目標價與現價的安全邊際被壓縮。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旺得富 8/13 05:01｜統一投顧 PCB 月報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https://wantrich.chinatimes.com/news/20260813900003-420101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FTNN 8/13 08:00｜本土法人上修至 610 元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https://www.ftnn.com.tw/news/569451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FTNN 8/13 07:45｜注意股名單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https://www.ftnn.com.tw/news/569499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