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2"/>
          <w:szCs w:val="32"/>
        </w:rPr>
        <w:t xml:space="preserve">聯電（2303）｜Factset 分析師共識　目標價維持 120 元、2026 EPS 上修至 4.93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  <w:szCs w:val="18"/>
        </w:rPr>
        <w:t xml:space="preserve">2026/07/29 22:11 發布　｜　外資圈共識　｜　半導體－晶圓代工　｜　7/29 跌停收 102.5 元（-9.69%）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一、評等／目標價摘要</w:t>
      </w:r>
    </w:p>
    <w:tbl>
      <w:tblPr>
        <w:tblStyle w:val="TableGrid"/>
        <w:tblW w:type="dxa" w:w="100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資料來源／類別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最新調查（22 位分析師）／外資圈共識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綜合評等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共識調查未列評等（前次分布：積極 12／中立 10／保守 3）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目標價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120 元（維持，與 7/28 紀錄相同）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 年 EPS 共識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4.88 → 4.93 元（上修 1.0%）；平均 4.90 → 5.04 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估值離散度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最高 6.50 → 7.37 元（樂觀端上調 13.4%）；最低 4.21 → 4.27 元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2027／2028 年 EPS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5.80／6.91 元；平均 6.33／8.21 元；最高 9.31／12.16 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2026–28 營收共識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2,766.53／3,287.48／3,474.17 億元（2027 年最高估值達 4,704.04 億元）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股價位置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7/29 收 102.5 元，較共識目標價 120 元折價約 14.6%</w:t>
            </w:r>
          </w:p>
        </w:tc>
      </w:tr>
    </w:tbl>
    <w:p>
      <w:pPr>
        <w:spacing w:after="60" w:before="0" w:line="276" w:lineRule="auto"/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二、論點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樂觀端明顯拉高是本次調查最值得注意的變化：2026 年 EPS 最高估值由 6.50 元跳升至 7.37 元，中位數僅微幅上修 4.88→4.93 元，顯示看多的分析師在法說後大幅加碼、但多數人仍偏保守，共識尚未整體位移。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7/29 法說給出的量價指引偏正向：Q3 晶圓出貨估季增 7-9%、美元 ASP 持穩、毛利率 34-36%、產能利用率由 Q2 的 85% 拉升至逾 90%。Q2 本業與業外雙收，單季 EPS 3.39 元，上半年賺近半個股本。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結構性題材延續：今年 AI 相關營收近 3 億美元，未來 3 年目標逾 10 億美元，來源包含電源管理 IC、連接晶片、FPGA、先進封裝與矽光子；今年資本支出上調至 20 億美元，新加坡與台灣雙軌擴產。與 Intel 合作的 12 奈米製程 2027 年 tape-out、2028 年才有明顯營收貢獻。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2027 年營收共識離散度極大（最高 4,704.04 億元對最低 3,016.16 億元，差距逾 5 成），反映市場對成熟製程上升循環的持續性看法兩極；這也解釋了目標價區間為何從 47 元橫跨到 258 元。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三、風險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共識目標價 120 元對應 2026 年 EPS 4.93 元約 24 倍本益比，對成熟製程代工屬偏高評價，若成熟製程漲價循環提前結束，評價修正空間大。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Intel 合作案與矽光子／先進封裝的營收貢獻時點落在 2027-28 年，題材與獲利實現之間存在 1-2 年落差，期間易受情緒面影響。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7/29 已跌停收 102.5 元、單週跌幅約 26%，籌碼面（融資餘額單日大減 385 億元）仍在去槓桿過程，短線波動風險偏高。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中國成熟製程擴產與 DUV 自主量產進展，為成熟製程供需的長期變數。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四、來源連結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 最新調查：聯電(2303-TW)EPS 預估上修至 4.93 元，預估目標價為 120 元（2026/07/29 22:11）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https://news.cnyes.com/news/id/6551204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鉅亨網｜聯電法說：上調今年資本支出至 20 億美元、AI 營收三年拚逾 10 億美元、Q2 EPS 3.39 元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https://news.cnyes.com/news/id/6551021　｜　https://news.cnyes.com/news/id/6551014　｜　https://news.cnyes.com/news/id/6550989</w:t>
      </w:r>
    </w:p>
    <w:p>
      <w:pPr>
        <w:spacing w:after="120" w:before="0" w:line="276" w:lineRule="auto"/>
      </w:pP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595959"/>
          <w:sz w:val="18"/>
          <w:szCs w:val="18"/>
        </w:rPr>
        <w:t xml:space="preserve">本摘要依公開新聞整理，非完整報告</w:t>
      </w:r>
    </w:p>
    <w:sectPr>
      <w:headerReference w:type="default" r:id="rId9"/>
      <w:pgSz w:w="11906" w:h="16838"/>
      <w:pgMar w:top="1021" w:right="1021" w:bottom="1021" w:left="102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