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聯電（2303）券商觀點摘要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半導體－晶圓代工（成熟製程）｜整理日期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美系外資A（★原文未具名）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加碼（維持）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138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★原文未載前值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+11.74%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基準價 123.5（08/24 收盤，本系統回算）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美系外資B（★原文未具名）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88 → 125（★+42.05%）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+1.21%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★08/24 盤中漲停 128 元已走完該目標價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本則為本場次唯一在窗口內（08/24 11:22）見報的工商時報券商觀點，兩家美系外資同日對聯電表態，但★兩家皆未具名。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美系外資A 的論點是資本支出：聯電因應客戶需求，將 2026 年資本支出預期自 15 億美元調升至 20 億美元，並將分階段擴產新加坡 Fab 12i 四期（P4）無塵室產能，同步於台灣南科 Fab 12A 展開新廠外殼工程作為未來 P7、P8 基地。該外資認為提高資本支出有助市場降低成熟製程需求疲弱的疑慮，維持加碼、目標價 138 元。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美系外資B 的論點是稼動率與毛利率：鑑於改善趨勢較佳，★將 2026～2028 年獲利預期一口氣調升 59%、44%、52%，目標價自 88 元升至 125 元（+42.05%，本系統回算），維持買進。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公司面佐證＝聯電法說預估 2026 年 Q3 晶圓出貨量季增 7～9%、美元 ASP 持穩、季產能小增至 132.5 萬片 12 吋約當晶圓，稼動率估升至逾 90%，帶動毛利率升至 34～36%（mid-30%）。執行長王石表示 8 吋產品組合顯著復甦，Q3 8 吋稼動率預期大幅提升至約 85%；整體價格環境改善，預期今年售價趨勢將優於先前預期，並看好 2027 年調升空間更明顯。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AI 業務＝聯電 AI 相關業務 2026 年營收貢獻估近 3 億美元，目標未來 3 年突破 10 億美元。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財務＝2026 上半年合併營收 1,297.71 億元年增 11.28%；歸屬母公司稅後淨利 584.31 億元年增 2.5 倍，EPS 4.68 元，雙創同期新高；毛利率 30.93%、營益率 20.21%，優於去年同期 27.72%、17.67%。7 月營收 238.44 億元月增 3.11%、年增 18.98%，創近 45 月高。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籌碼＝三大法人上周調節賣超 1.06 萬張，其中★外資買超 5.57 萬張，投信賣超 6.19 萬張、自營商賣超 4,338 張，呈現土洋對作；08/24 外資已連三買累計逾 4.5 萬張。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最大缺口是兩家券商皆未具名。無法建立任一家的目標價序列，也無法判斷 138 元與 125 元何者為新評價事件、何者為既有數字重述。原文未載任何一家的前次評等日、目標本益比、評價年度與 EPS 預估絕對值，★兩個目標價皆完全無法回算驗證。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美系外資B 的獲利上調幅度（59%／44%／52%）極為罕見，但原文未揭露任何模型假設——沒有 ASP 假設、沒有稼動率假設、沒有成熟製程產能利用率路徑。★如此大幅度的一次性修正，通常代表原模型基期過低而非公司基本面有等幅改善，把上調幅度直接當成上檔空間會嚴重高估訊號強度。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目標價與股價幾乎同步走完：08/24 聯電開高放量攻上漲停 128 元、終場收 123.5 元漲 6.01%。★125 元的隱含空間僅剩 +1.21%，138 元亦僅剩 +11.74%（皆本系統回算）。★這是典型的「共識追著股價跑」型態，上調公告與股價噴出同日發生，領先性存疑。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兩家目標價相差 10.4%，且原文未說明分歧來源。在券商名稱未揭露的情況下，無法判斷是產能假設差異還是評價倍數差異。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土洋對作是重大警訊：外資買超 5.57 萬張的同時投信賣超 6.19 萬張，本土法人與外資方向完全相反。原文未處理此分歧。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成熟製程的結構性疑慮並未消失，只是被資本支出重新詮釋。★擴產本身是雙面刃：若成熟製程需求不如預期，資本支出由 15 億升至 20 億美元將直接壓縮自由現金流並墊高折舊。原文未討論此下行情境，亦未做敏感度試算。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另有可轉債稀釋因素：聯電發行「聯電二」（23032）4 萬張、面額 40 億元，轉換價 130.7 元、溢價率 104.98%，26 日開標、9/3 掛牌。★轉換價 130.7 元高於兩家目標價中的 125 元、低於 138 元，★兩家券商原文皆未討論轉換股數對 EPS 的稀釋。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本則為新聞轉述非報告原文，未載分析師姓名與報告出具日期。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 8／24盤中焦點股（2026/08/24 11:22，時報資訊 林資傑）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https://www.ctee.com.tw/news/20260824700724-430201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 台股量縮跌461點（2026/08/24 15:57）－08/24 收盤價來源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https://www.ctee.com.tw/news/20260824701173-430201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鉅亨網 外資評等表 archive 入口（最新評等日 20260821）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https://www.cnyes.com/archive/twstock/board/ratediff.aspx?gt=qfii&amp;gp=rate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