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32"/>
        </w:rPr>
        <w:t>聯電（2303）券商觀點摘要　　2026/08/26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廣發證券（外資，海外電子通信主管蒲得宇，具名）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原文未載評等文字（「調高推測合理股價」）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160 元（★原文未載前值）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基準股價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08/25 收 125 元（隱含空間 +28.0%，本系統回算）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報導日期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2026/08/26 工商時報 03:00（記者簡威瑟）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近期其他觀點</w:t>
            </w:r>
          </w:p>
        </w:tc>
        <w:tc>
          <w:tcPr>
            <w:tcW w:type="dxa" w:w="759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08/24 美系外資A：加碼（維持）138 元；美系外資B：買進、88→125 元（+42.05%）。三家兩日內區間 125–160 元，跨度 28%。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論點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一、高毛利 PIC（光子晶片）／TFLN 業務將加速成長，主要由 Hyperlight 與 TeraHop 帶動，其中 Hyperlight「可能」已在 Google 取得重大進展。廣發預估 PIC 晶圓出貨量至 2027Q4 增至每月 2 萬片、2028Q4 進一步達每月 4 萬片，且此業務毛利率將顯著高於聯電整體平均。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二、雖市場對漲價題材興趣降低，但聯電能見度已延伸至 2027 年下半年；考量報價上漲、PIC 需求及毛利率展望改善，調高股價預期至 160 元。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三、下半年至 7 月底股價遜於大盤（受台積電「成熟製程並未短缺」觀點影響），8 月以來轉為橫盤整理，逐步消化先前多頭部位過度擁擠。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風險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．原文未載評等文字、前值、目標本益比與評價年度，160 元無法回算驗證。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．PIC 出貨量為 2027–2028 遠期預估，無客戶名單與訂單佐證；Hyperlight 在 Google 的進展原文用「可能」，非已確認事件。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．兩天內三家外資給出 125／138／160 三個目標價，分歧達 28%；美系B 的 125 元已被 08/25 收盤價走完，160 元是目前唯一留有空間者，引用時應註明各家評價方法不同（美系B 為稼動率/毛利率模型上修、廣發為 PIC 新業務重估）。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．可轉債「聯電二」轉換價 130.7 元（8/26 開標、9/3 掛牌），股價已越過轉換價，潛在稀釋未被三家報告處理。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．成熟製程需求疑慮並未消失，只是被 PIC 與資本支出重新詮釋；本則為新聞轉述、非報告原文。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來源連結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8"/>
        </w:rPr>
        <w:t>． 工商時報：https://www.ctee.com.tw/news/20260826700206-430201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