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 w:cs="Microsoft JhengHei"/>
          <w:b/>
          <w:color w:val="1F3B73"/>
          <w:sz w:val="36"/>
        </w:rPr>
        <w:t>聯電（2303）｜滙豐證券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2026/09/07 盤後場次　半導體 – 晶圓代工（成熟製程）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一、評等與目標價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c>
          <w:tcPr>
            <w:tcW w:type="dxa" w:w="1701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050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滙豐證券（HSBC）／外資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買進（★原文未載係新評、調升或維持）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212 元（前值 ★未載）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收 143 元、漲停（+10.00%），成交 33.17 萬張、成交值 466.99 億元，貢獻大盤約 56 點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上檔空間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以 143 元回算約 +48.3%（本系統回算）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其他券商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花旗、摩根士丹利同表看好，★兩家皆未載評等與目標價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二、論點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1. 滙豐：第 2 季獲利超越預期、產能利用率持續轉佳，加上公司調升資本支出以支援半導體需求，前景看好。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2. 營收動能：8 月營收 250.44 億元（月增 5%、年增 30.7%），為 2022 年 10 月以來近四年新高。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3. 定價：大和資本預測聯電自 2027 年第 1 季起，特定製程節點（尤其 AI 相關）將調漲 2%–5%。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4. ★未具名法人估 2027 年營收年增 22.8%、EPS 上修至 7.33 元；以目標價 212 元對 2027 年 EPS 7.33 元計約 28.9 倍本益比（本系統回算）。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三、風險與未揭露事項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★前值目標價、前次評等日期、報告發布日期全部未載，無法判定是調升或維持。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★滙豐未提供 EPS 預估與評價基準，目標價 212 元的推導方式不明。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花旗、大摩僅「看好」無具體數字，不構成可追蹤紀錄。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當日已鎖漲停，追價風險高；成熟製程仍面臨中國同業產能開出與價格競爭壓力，本則報告未討論。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來源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https://money.udn.com/money/story/5607/9739735（經濟日報 09/07 17:19）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https://money.udn.com/money/story/5607/9738844（經濟日報 09/07 11:11 聯電 8 月營收）</w:t>
      </w:r>
    </w:p>
    <w:p>
      <w:pPr>
        <w:spacing w:before="160"/>
      </w:pPr>
      <w:r>
        <w:rPr>
          <w:rFonts w:ascii="Microsoft JhengHei" w:hAnsi="Microsoft JhengHei" w:eastAsia="Microsoft JhengHei" w:cs="Microsoft JhengHei"/>
          <w:b/>
          <w:color w:val="444444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