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0"/>
          <w:szCs w:val="30"/>
        </w:rPr>
        <w:t xml:space="preserve">臻鼎-KY（4958）券商觀點摘要</w:t>
      </w:r>
    </w:p>
    <w:p>
      <w:pPr>
        <w:pBdr>
          <w:bottom w:val="single" w:color="1F3864" w:sz="6" w:space="4"/>
        </w:pBdr>
        <w:spacing w:after="180"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</w:rPr>
        <w:t xml:space="preserve">法人（原文未具名）　|　2026-08-12　|　盤後場次　|　本場次唯一下修個案　|　600 元為本系統既有序列最低值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評等／目標價摘要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40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8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券商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法人（原文未具名，未標示內外資，本系統依行文研判為內資）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個股／產業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臻鼎-KY（4958）　PCB－AI 伺服器板／高速光模組 PCB／IC 載板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投資評等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買進（維持）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600 元（調降）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原文未載　→　待確認。惟本系統既有序列充足（見下），600 元明顯低於過去一個月所有紀錄。</w:t>
            </w:r>
          </w:p>
        </w:tc>
      </w:tr>
      <w:tr>
        <w:trPr>
          <w:tblHeader w:val="false"/>
        </w:trPr>
        <w:tc>
          <w:tcPr>
            <w:tcW w:type="dxa" w:w="1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變動說明</w:t>
            </w:r>
          </w:p>
        </w:tc>
        <w:tc>
          <w:tcPr>
            <w:tcW w:type="dxa" w:w="8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下修。原文逐字：「雖因獲利預估下修將目標價調降至 600 元，但仍維持『買進』評等」。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見報日期</w:t>
            </w:r>
          </w:p>
        </w:tc>
        <w:tc>
          <w:tcPr>
            <w:tcW w:type="dxa" w:w="8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8"/>
                <w:szCs w:val="18"/>
              </w:rPr>
              <w:t xml:space="preserve">2026-08-12 10:18（工商時報 方明）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論點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1.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下修的三個具體理由（原文明列，難得完整）：（1）摺疊手機出貨遞延；（2）研發投入持續增加；（3）2027 年新產能陸續開出後折舊費用上升。據此下修 2026 及 2027 年稅後 EPS 預估。三項全屬可驗證的營運變數，非空泛的「評價修正」。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2.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維持買進的三大優勢（原文明列）：（1）在上游材料供應吃緊下具備成本轉嫁能力，並提前鎖定料源及設備產能；（2）已切入下一代 GPU、ASIC 高階 PCB 供應鏈，並具備 ABF 載板、iHDI、HLC 及高階 mSAP 等量產能力；（3）全球高階產能自 2026 下半年起陸續開出並延續至 2029 年，且已與北美一線雲端服務供應商完成中長期產能綁定。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3.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結構轉型是長線論述主軸：法人指出臻鼎三大高階應用營收占比已由 2025 年的 11.7%，預估到 2027 年將大幅提升至 37%，長期更設定 2030 年達 45%～50% 的目標。占比若真的從 11.7% 走到 37%，等同營收結構的質變。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4.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公司面配合：臻鼎已規劃逾 800 億元資本支出加速全球高階產能布局，並透過「One ZDT」一站式平台整合 PCB 與載板能力；公司表示 AI 相關營收今年可望倍數成長，部分客戶甚至已提前預訂 2027 年產能。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5.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財報（法說會 8/11）：上半年營收 891.59 億元年增 13.9% 創同期新高；稅後淨利 57.74 億元年增 139.3%；歸屬母公司淨利 38.17 億元年增 208.5%；上半年 EPS 3.55 元（去年同期 1.3 元），Q2 單季 EPS 2.19 元。法人評為「整體表現符合市場預期」。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6.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序列位置：600 元是本系統收錄臻鼎以來的最低目標價（既有 636.5／695／824 元），且是 7 月以來第一次出現下修動作。前一個月券商方向清一色向上（高盛 388→824 元、法人上調至 695 元、FactSet 616.5→636.5 元），本則構成方向反轉。</w:t>
      </w:r>
    </w:p>
    <w:p>
      <w:pPr>
        <w:spacing w:after="11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7. 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市場反應是負面的：亮眼財報未能激勵股價，臻鼎 8/12 以低盤開出，盤中跌幅一度逾 4%，且當日在《8／12台股雷達》被列為賣壓湧現的個股之一。獲利翻倍但股價下跌，與法人下修 EPS 的方向一致，顯示市場已先行反映。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風險與資訊缺口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券商未具名，未標示內外資，無法判斷研究品質與市場影響力；也未載報告出具日期。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未揭露下修前後的 EPS 絕對值，也未揭露本益比與評價基礎，600 元完全無法回算驗證；未載目標價前值，下修幅度無從計算。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評等與目標價方向背離（維持買進但砍目標價）：原文未說明為何在下修今明兩年獲利後仍維持買進，此內部張力未被調和。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多頭論述的時間軸偏遠：三大高階應用營收占比 37% 的目標在 2027 年、45%～50% 在 2030 年，全球高階產能開出延續至 2029 年——近兩年正是被下修的期間，投資期間與論述期間並不對齊。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折舊壓力已被點名為下修理由之一，而逾 800 億元資本支出意味 2027 年以後折舊將持續墊高，對毛利率的中期壓抑原文未量化。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「與北美一線雲端服務供應商完成中長期產能綁定」未具名客戶，客戶集中度風險未揭露。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摺疊手機遞延的時程與影響金額未量化；上游原物料漲價壓力雖稱可轉嫁，但 Q2 已明載「仍面臨上游原物料價格上漲壓力」，轉嫁完整度未說明。</w:t>
      </w:r>
    </w:p>
    <w:p>
      <w:pPr>
        <w:spacing w:after="1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・</w:t>
      </w: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與既有序列的落差是本則最重要的資訊：本系統已收錄 636.5 元（2026/07/07 FactSet 共識，強力買進，前值 616.5 元）、824 元（2026/07/13 高盛，買進，前值 388 元）、695 元（2026/07/24 法人未具名，增加持股，上調）。本次 600 元較 695 元低 13.7%、較 FactSet 共識 636.5 元低 5.7%、較高盛 824 元低 27.2%（本系統回算）。若本則與 7/24 那筆為同一家內資法人，則等同該機構在 19 天內由「上調至 695 元」翻轉為「下修至 600 元」，屬明顯的立場轉向，惟原文未載前值故無法證實兩者同源。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3"/>
          <w:szCs w:val="23"/>
        </w:rPr>
        <w:t xml:space="preserve">來源連結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2026/08/12 10:18｜AI訂單看到2027年 臻鼎獲利翻倍股價卻遭打臉！法人三因素逆勢喊買　https://www.ctee.com.tw/news/20260812700718-430201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2026/08/12 18:31｜8／12台股雷達｜多頭強攻 力積電、仁寶、合晶暴量上漲原因曝　https://www.ctee.com.tw/news/20260812701692-430204</w:t>
      </w:r>
    </w:p>
    <w:p>
      <w:pPr>
        <w:spacing w:after="70"/>
      </w:pPr>
      <w:r>
        <w:rPr>
          <w:rFonts w:ascii="Microsoft JhengHei" w:cs="Microsoft JhengHei" w:eastAsia="Microsoft JhengHei" w:hAnsi="Microsoft JhengHei"/>
          <w:color w:val="333333"/>
          <w:sz w:val="17"/>
          <w:szCs w:val="17"/>
        </w:rPr>
        <w:t xml:space="preserve">・工商時報 2026/08/12｜臻鼎擴高階產能 與客戶3年綁定　https://www.ctee.com.tw/news/20260812700189-439901</w:t>
      </w:r>
    </w:p>
    <w:p>
      <w:pPr>
        <w:pBdr>
          <w:top w:val="single" w:color="BFBFBF" w:sz="6" w:space="6"/>
        </w:pBdr>
        <w:spacing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777777"/>
          <w:sz w:val="17"/>
          <w:szCs w:val="17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2026-08-12T11:20:46.404Z</dcterms:created>
  <dcterms:modified xsi:type="dcterms:W3CDTF">2026-08-12T11:20:46.404Z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