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臻鼎-KY(4958)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美系外資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買進（重申）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925 元（前值 824 元，+12.26%，本系統回算）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2026/08/12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本系統既有紀錄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統一投顧 640 元（8/15，前值 660 下修）、FactSet 共識 640 元（8/13）、法人 600 元（8/12）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★本則 925 元遠高於本系統既有的內資與共識數字（600~660 元），差距達 40%~54%，是同一檔股票上內外資分歧最明顯的一組。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上半年伺服器／光模塊／IC 載板營收年增 113%，占營收比重提升至 21.6%；公司目標 2030 年該三項占比達 45%~50%。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上半年毛利率 22.4%、營益率 7%，分別年增 5.9 及 2.6 個百分點；歸屬母公司淨利 38.17 億元、年增 208.5%，EPS 3.55 元。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★關鍵進度：已通過 Vera Rubin 專案 compute tray 的 PCB 供應認證，預計 2026 下半年開始貢獻顯著營收，且 AI compute tray 營益率 20%~30%，遠高於公司整體的 10%~15%。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外資預估 2026~2028 年臻鼎 AI PCB 業務 CAGR 超過 300%，優於同期 PCB 產業整體約 148%。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光模組業務：2026~2028 年營收 CAGR 預計超過 200%，憑藉近十年為智慧型手機生產 SLP 累積的 mSAP 技術；外資預期 2027 年成為領先的光模組 PCB 供應商，市占率 35%~40%。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毛利率結構改善：光模組 PCB 毛利率 35%~40%，明顯高於 SLP 的低於 30%。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產能能見度至 2029 年，未來 3 年新增產能大部分已與客戶綁定，部分高階訂單以預付款及專案款鎖定。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★內外資分歧極大（外資 925 元 vs 內資與共識 600~660 元），本則不宜與其他數字直接平均，須先判斷是否採用不同的評價年度。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券商未具名；未載報告出具日期、未揭露 EPS 絕對值與本益比，925 元無法回算驗證。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AI PCB 業務 CAGR 逾 300%、光模組 CAGR 逾 200%、2027 年市占 35%~40% 均為外資預測值，未提供基期金額，高成長率可能來自極低基期。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本則見報當日（8/12）臻鼎股價逆勢走低，市場對「研發與新廠費用上升導致營業淨利率略低預期」的疑慮，與外資的長線樂觀並存。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新廠折舊與研發費用為已確認的成本，AI 營收放量則為預期；兩者時間差是模型最脆弱的一段。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《電零組》臻鼎-KY AI業務前景亮 美系外資上修目標價至925元（工商時報 2026.08.12）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https://www.ctee.com.tw/news/20260812700864-430201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