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華城(1519)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法人（未具名） ｜ 內資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法人（原文未具名）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重電／電力設備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正向（維持，原文未列制式評等）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980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・法人維持正向看法，目標價 980 元，為重電四雄中最高、亦最受矚目。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・在手訂單已突破 200 億元，能見度一路延伸至 2029 年，AI 資料中心帶來的電力設備需求依舊強勁。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・產能：3B 廠已於今年 Q1 正式投產並持續爬坡，台中新廠預計 2027 年 Q3 加入營運。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・7 月營收 20.5 億元月增 18.5%、年減 8.3%，Q3 營收達成率約 26% 低於原先預期，主因美國鐵路專用板車調度不足導致部分變壓器出貨遞延；法人認為訂單並未消失，後續月份可望陸續補回。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・法人預期隨 AIDC 訂單轉化為實際營收、高毛利外銷產品占比拉升、新產能到位，後續營收與獲利都有改善空間，下半年整體營運可望超越上半年。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・8/13 股價續揚，盤中再創波段高點 736 元。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・券商未具名、未載報告出具日期，未給制式評等文字（僅稱「維持正向看法」），嚴格說不構成完整評等更新。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・未揭露 EPS 預估與本益比，980 元評價基礎完全無法回算；未載目標價前值，方向與幅度無從判斷。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・7 月營收年減 8.3%、Q3 達成率僅 26%（低於進度）為已實現的負面事實，「訂單並未消失、後續補回」屬法人推論，補回時程與金額均未量化。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・出貨遞延主因為美國鐵路板車調度不足，屬公司無法控制的外部物流變數，改善時點未說明。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・980 元對照 8/13 盤中高點 736 元隱含空間約 33%（本系統回算），但股價已在波段高檔。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・本系統另查得有官股法人曾給華城買進、目標價 935 元（時點早於本窗口），兩者並存但機構不同，不宜合併為單一共識。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https://www.ftnn.com.tw/news/569522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