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華城（1519）　個股摘要　2026/09/06</w:t>
      </w:r>
    </w:p>
    <w:p>
      <w:pPr>
        <w:spacing w:after="120" w:line="269" w:lineRule="auto"/>
      </w:pPr>
      <w:r>
        <w:rPr>
          <w:rFonts w:ascii="Microsoft JhengHei" w:hAnsi="Microsoft JhengHei" w:eastAsia="Microsoft JhengHei" w:cs="Microsoft JhengHei"/>
          <w:b w:val="0"/>
          <w:sz w:val="17"/>
        </w:rPr>
        <w:t>重電－電力設備（變壓器／AIDC）　│　資料來源：工商時報 09/06 03:00 股市致勝周報 B9　│　整理：旺來研究報告系統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1360"/>
        <w:gridCol w:w="1247"/>
        <w:gridCol w:w="1474"/>
        <w:gridCol w:w="3175"/>
      </w:tblGrid>
      <w:tr>
        <w:tc>
          <w:tcPr>
            <w:tcW w:type="dxa" w:w="170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90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外資／內資</w:t>
            </w:r>
          </w:p>
        </w:tc>
        <w:tc>
          <w:tcPr>
            <w:tcW w:type="dxa" w:w="1361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247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目標價（新）</w:t>
            </w:r>
          </w:p>
        </w:tc>
        <w:tc>
          <w:tcPr>
            <w:tcW w:type="dxa" w:w="1474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目標價（前值）</w:t>
            </w:r>
          </w:p>
        </w:tc>
        <w:tc>
          <w:tcPr>
            <w:tcW w:type="dxa" w:w="3175"/>
            <w:shd w:val="clear" w:fill="D9E2F3"/>
          </w:tcPr>
          <w:p>
            <w:pPr>
              <w:spacing w:after="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隱含空間 / 基準</w:t>
            </w:r>
          </w:p>
        </w:tc>
      </w:tr>
      <w:tr>
        <w:tc>
          <w:tcPr>
            <w:tcW w:type="dxa" w:w="170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美系外資</w:t>
              <w:br/>
              <w:t>（★原文未具名）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喊買（原文用詞）</w:t>
            </w:r>
          </w:p>
        </w:tc>
        <w:tc>
          <w:tcPr>
            <w:tcW w:type="dxa" w:w="1247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★無目標價可回算</w:t>
              <w:br/>
              <w:t>09/04 收 746 元，上檔年線 783.26 元為壓力</w:t>
            </w:r>
          </w:p>
        </w:tc>
      </w:tr>
    </w:tbl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8"/>
        </w:rPr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二、論點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今年營收獲利四大動能：台電強韌電網計畫、美國電力基礎建設、半導體持續擴廠、AIDC（AI 資料中心）。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AIDC 累計在手訂單逾 220 億元，且已開始承接 2029 或 2030 年出貨的訂單。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整體在手訂單能見度看到 2029 年。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籌碼面：09/04 外資由賣轉買 283 張，三大法人合計買超 353 張；股價大漲 24 元收 746 元，一舉收復 5、10、20 日均線。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三、風險與但書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★券商未具名，原文僅稱「美系外資」；評等用詞為新聞轉述之「喊買」而非正式評等文字。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★目標價、EPS 預估與評價基準原文全數未載，無法評估上檔空間。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上檔須先克服年線 783.26 元賣壓，才能持續向上攻堅。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在手訂單能見度雖達 2029 年，但長天期訂單的價格與毛利率條件原文未揭露。</w:t>
      </w:r>
    </w:p>
    <w:p>
      <w:pPr>
        <w:spacing w:after="6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9"/>
        </w:rPr>
        <w:t>• ★本系統首度收錄該檔。</w:t>
      </w:r>
    </w:p>
    <w:p>
      <w:pPr>
        <w:spacing w:before="120" w:after="80"/>
      </w:pPr>
      <w:r>
        <w:rPr>
          <w:rFonts w:ascii="Microsoft JhengHei" w:hAnsi="Microsoft JhengHei" w:eastAsia="Microsoft JhengHei" w:cs="Microsoft JhengHei"/>
          <w:b/>
          <w:color w:val="1F3864"/>
          <w:sz w:val="23"/>
        </w:rPr>
        <w:t>四、來源連結</w:t>
      </w:r>
    </w:p>
    <w:p>
      <w:pPr>
        <w:spacing w:after="40" w:line="269" w:lineRule="auto"/>
        <w:ind w:left="170"/>
      </w:pPr>
      <w:r>
        <w:rPr>
          <w:rFonts w:ascii="Microsoft JhengHei" w:hAnsi="Microsoft JhengHei" w:eastAsia="Microsoft JhengHei" w:cs="Microsoft JhengHei"/>
          <w:b w:val="0"/>
          <w:sz w:val="17"/>
        </w:rPr>
        <w:t>• 工商時報 09/06 03:00（股市致勝周報 B9）：https://www.ctee.com.tw/news/20260906700149-439903</w:t>
      </w:r>
    </w:p>
    <w:p>
      <w:pPr>
        <w:spacing w:after="40" w:line="269" w:lineRule="auto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line="269" w:lineRule="auto"/>
      </w:pPr>
      <w:r>
        <w:rPr>
          <w:rFonts w:ascii="Microsoft JhengHei" w:hAnsi="Microsoft JhengHei" w:eastAsia="Microsoft JhengHei" w:cs="Microsoft JhengHei"/>
          <w:b/>
          <w:color w:val="B0303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