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華城(1519)　龍頭券商旗下投顧：買進、目標價860元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2026-09-09（報告日9/8；旺得富報導）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★未具名（原文稱「龍頭券商旗下投顧」）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重電－輸配電設備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買進（★未載新評／調升／維持）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860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重電族群6檔自波段高點回跌18%～32%，評價已有修正。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2025年實質民間資本年增26%至2.2兆元，輸發配電設備年增12%。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IEA估2030年全球資料中心耗電突破1,000 TWh、CAGR 15%，為電網投資長線驅動力。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同一份報告中華城與中興電獲「買進」，亞力、東元僅「持有」，士電、宏于未評等，族群內評等分歧。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族群股價已自高點回跌18～32%，反映市場對訂單能見度轉趨保守。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★原文未揭露EPS預估與本益比假設，860元目標價之評價基礎不明。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電網投資屬長天期資本支出，認列時程易遞延。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旺得富理財網（2026-09-09 06:00）　https://wantrich.chinatimes.com/news/20260909900001-420101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