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color w:val="1F3B63"/>
          <w:sz w:val="30"/>
        </w:rPr>
        <w:t>華新（1605）券商觀點摘要　2026/08/10 盤後</w:t>
      </w:r>
    </w:p>
    <w:p>
      <w:pPr>
        <w:spacing w:after="18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19"/>
        </w:rPr>
        <w:t>電線電纜／不銹鋼（AI 電網＋海纜）／資料來源：工商時報 2026/08/10</w:t>
      </w:r>
    </w:p>
    <w:p>
      <w:pPr>
        <w:spacing w:after="80" w:before="0"/>
      </w:pPr>
      <w:r>
        <w:rPr>
          <w:rFonts w:ascii="Microsoft JhengHei" w:hAnsi="Microsoft JhengHei" w:eastAsia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928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164"/>
            <w:shd w:val="clear" w:color="auto" w:fill="1F3B63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券商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法人（內資，原文未具名）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投資評等</w:t>
            </w:r>
          </w:p>
        </w:tc>
        <w:tc>
          <w:tcPr>
            <w:tcW w:type="dxa" w:w="8164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買進（維持）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目標價（新）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50 元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目標價（前值）</w:t>
            </w:r>
          </w:p>
        </w:tc>
        <w:tc>
          <w:tcPr>
            <w:tcW w:type="dxa" w:w="8164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49 元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調幅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＋2.0%（僅 1 元，實質意義接近維持）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EPS 預估</w:t>
            </w:r>
          </w:p>
        </w:tc>
        <w:tc>
          <w:tcPr>
            <w:tcW w:type="dxa" w:w="8164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未揭露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本益比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未揭露</w:t>
            </w:r>
          </w:p>
        </w:tc>
      </w:tr>
      <w:tr>
        <w:tc>
          <w:tcPr>
            <w:tcW w:type="dxa" w:w="1928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報告出具日</w:t>
            </w:r>
          </w:p>
        </w:tc>
        <w:tc>
          <w:tcPr>
            <w:tcW w:type="dxa" w:w="8164"/>
            <w:shd w:val="clear" w:color="auto" w:fill="F2F5F9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未載（見報日 2026/08/10）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股價</w:t>
            </w:r>
          </w:p>
        </w:tc>
        <w:tc>
          <w:tcPr>
            <w:tcW w:type="dxa" w:w="8164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8/10 跳空大漲、盤中一度逼近漲停，收盤名列上市股漲幅前十名（漲停），重新站回季線</w:t>
            </w:r>
          </w:p>
        </w:tc>
      </w:tr>
    </w:tbl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二、論點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Q2 稅後純益 90.43 億元、單季 EPS 2.04 元；Q2 與上半年 EPS 雙雙創下歷史同期新高。上半年稅後純益 126.28 億元、EPS 2.85 元。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獲利拆解：Q2 業外收益達 83.87 億元（遠高於 Q1 的 35.13 億元），其中權益法投資收益約 60 億元，另有處分部分轉投資利益挹注。Q2 營業利益 7.26 億元、季增 32.7%、年增 45.9%。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本業改善：不銹鋼事業 Q2 虧損明顯收斂，預期下半年台灣及中國市場營運可望維持穩定，歐洲市場有機會受惠政策支持，相關效益預計 Q4 開始逐步顯現。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電線電纜長線動能：搭上 AI 資料中心、電網升級及能源基礎建設三大長線需求，隨全球 AI 資料中心持續擴建，電力傳輸與電網升級需求同步增加，高壓電纜及海底電纜市場成為未來重要成長支柱。海纜業務預計自 2027 年下半年開始對獲利產生較明顯貢獻。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轉投資放大器：轉投資的華邦電（2344）下半年獲利持續成長，將透過權益法投資收益進一步挹注華新，形成「本業復甦＋轉投資成長」的雙重獲利動能。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法人定調：華新正從過去幾年的景氣低谷，逐步進入獲利高速修復階段，隨不銹鋼本業改善以及 SMP、海纜等新成長動能逐步放量，評價有望重新修復。</w:t>
      </w: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三、風險與資訊落差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本檔為本系統首次收錄，尚無歷史目標價序列可供比較，前值 49 元無法自第三方獨立佐證，標「待確認」。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調幅僅 1 元（+2.0%），實質意義接近「維持」而非方向性調升，媒體以「法人喊出這目標價」框架呈現，容易高估此則的資訊含量。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獲利品質疑慮明顯：Q2 稅後純益 90.43 億元中，業外即佔 83.87 億元，本業營業利益僅 7.26 億元，兩者相差逾 11 倍。權益法收益與處分利益皆不具穩定延續性，法人僅小幅調升目標價，亦顯示對此有所保留。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成長動能時程偏遠：海纜業務要到 2027 年下半年才明顯貢獻，不銹鋼歐洲效益要 Q4 才顯現，兩者對 2026 年獲利的實質幫助有限。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轉投資華邦電的獲利貢獻具高度循環性，記憶體漲價循環一旦反轉，權益法收益將同步下滑，此下檔情境原文完全未討論。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券商未具名、報告出具日期未載、未揭露 EPS 與本益比，無法判斷 50 元的評價基礎。</w:t>
      </w:r>
    </w:p>
    <w:p>
      <w:pPr>
        <w:spacing w:after="60" w:before="0"/>
      </w:pPr>
      <w:r>
        <w:rPr>
          <w:rFonts w:ascii="Microsoft JhengHei" w:hAnsi="Microsoft JhengHei" w:eastAsia="Microsoft JhengHei"/>
          <w:b w:val="0"/>
          <w:sz w:val="20"/>
        </w:rPr>
        <w:t>• 股價當日已亮燈漲停，短線追價風險偏高。</w:t>
      </w:r>
    </w:p>
    <w:p>
      <w:pPr>
        <w:spacing w:after="80" w:before="160"/>
      </w:pPr>
      <w:r>
        <w:rPr>
          <w:rFonts w:ascii="Microsoft JhengHei" w:hAnsi="Microsoft JhengHei" w:eastAsia="Microsoft JhengHei"/>
          <w:b/>
          <w:color w:val="1F3B63"/>
          <w:sz w:val="26"/>
        </w:rPr>
        <w:t>四、來源連結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1. 華新本業業外助攻Q2獲利暴增 AI電網＋海纜雙引擎接棒 法人喊出這目標價（工商時報 2026/08/10）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https://www.ctee.com.tw/news/20260810700707-430201</w:t>
      </w:r>
    </w:p>
    <w:p>
      <w:pPr>
        <w:spacing w:after="0" w:before="0"/>
      </w:pPr>
      <w:r>
        <w:rPr>
          <w:rFonts w:ascii="Microsoft JhengHei" w:hAnsi="Microsoft JhengHei" w:eastAsia="Microsoft JhengHei"/>
          <w:b w:val="0"/>
          <w:sz w:val="18"/>
        </w:rPr>
        <w:t>2. 華新集團大漲！華邦電漲停、彩晶一度亮燈 華新也跳上季線（經濟日報 2026/08/10）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color w:val="305A9A"/>
          <w:sz w:val="17"/>
        </w:rPr>
        <w:t xml:space="preserve">　　https://money.udn.com/money/story/5710/9681426</w:t>
      </w:r>
    </w:p>
    <w:p>
      <w:pPr>
        <w:spacing w:after="120" w:before="0"/>
      </w:pPr>
    </w:p>
    <w:p>
      <w:pPr>
        <w:spacing w:after="80" w:before="0"/>
      </w:pPr>
      <w:r>
        <w:rPr>
          <w:rFonts w:ascii="Microsoft JhengHei" w:hAnsi="Microsoft JhengHei" w:eastAsia="Microsoft JhengHei"/>
          <w:b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001"/>
      <w:pgSz w:w="12240" w:h="15840"/>
      <w:pgMar w:top="1077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001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