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Microsoft JhengHei" w:hAnsi="Microsoft JhengHei" w:eastAsia="Microsoft JhengHei"/>
          <w:b/>
          <w:color w:val="1F3B63"/>
          <w:sz w:val="32"/>
        </w:rPr>
        <w:t>華星光（4979）券商觀點摘要</w:t>
      </w:r>
    </w:p>
    <w:p>
      <w:pPr>
        <w:spacing w:after="160" w:line="276" w:lineRule="auto"/>
      </w:pPr>
      <w:r>
        <w:rPr>
          <w:rFonts w:ascii="Microsoft JhengHei" w:hAnsi="Microsoft JhengHei" w:eastAsia="Microsoft JhengHei"/>
          <w:b w:val="0"/>
          <w:color w:val="666666"/>
          <w:sz w:val="17"/>
        </w:rPr>
        <w:t>券商：統一投顧（內資．★具名）　｜　見報：工商時報 2026/09/07 03:00（07:45 更新）　｜　整理：旺來</w:t>
      </w:r>
    </w:p>
    <w:p>
      <w:pPr>
        <w:spacing w:before="120" w:after="80"/>
      </w:pPr>
      <w:r>
        <w:rPr>
          <w:rFonts w:ascii="Microsoft JhengHei" w:hAnsi="Microsoft JhengHei" w:eastAsia="Microsoft JhengHei"/>
          <w:b/>
          <w:color w:val="1F3B63"/>
          <w:sz w:val="24"/>
        </w:rPr>
        <w:t>一、評等與目標價摘要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041"/>
        <w:gridCol w:w="7597"/>
      </w:tblGrid>
      <w:tr>
        <w:tc>
          <w:tcPr>
            <w:tcW w:type="dxa" w:w="2041"/>
            <w:shd w:val="clear" w:fill="1F3B63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597"/>
            <w:shd w:val="clear" w:fill="1F3B63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券商</w:t>
            </w:r>
          </w:p>
        </w:tc>
        <w:tc>
          <w:tcPr>
            <w:tcW w:type="dxa" w:w="7597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統一投顧（內資．具名）</w:t>
            </w:r>
          </w:p>
        </w:tc>
      </w:tr>
      <w:tr>
        <w:tc>
          <w:tcPr>
            <w:tcW w:type="dxa" w:w="2041"/>
            <w:shd w:val="clear" w:fill="F2F5F9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評等</w:t>
            </w:r>
          </w:p>
        </w:tc>
        <w:tc>
          <w:tcPr>
            <w:tcW w:type="dxa" w:w="7597"/>
            <w:shd w:val="clear" w:fill="F2F5F9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買進／初評，無前值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目標價</w:t>
            </w:r>
          </w:p>
        </w:tc>
        <w:tc>
          <w:tcPr>
            <w:tcW w:type="dxa" w:w="7597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800 元／無前值（初評）</w:t>
            </w:r>
          </w:p>
        </w:tc>
      </w:tr>
      <w:tr>
        <w:tc>
          <w:tcPr>
            <w:tcW w:type="dxa" w:w="2041"/>
            <w:shd w:val="clear" w:fill="F2F5F9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09/04 收盤價</w:t>
            </w:r>
          </w:p>
        </w:tc>
        <w:tc>
          <w:tcPr>
            <w:tcW w:type="dxa" w:w="7597"/>
            <w:shd w:val="clear" w:fill="F2F5F9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629.00 元（+57.00、+9.97% 漲停，昨收 572）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隱含上檔</w:t>
            </w:r>
          </w:p>
        </w:tc>
        <w:tc>
          <w:tcPr>
            <w:tcW w:type="dxa" w:w="7597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＋27.2%（本系統回算）</w:t>
            </w:r>
          </w:p>
        </w:tc>
      </w:tr>
      <w:tr>
        <w:tc>
          <w:tcPr>
            <w:tcW w:type="dxa" w:w="2041"/>
            <w:shd w:val="clear" w:fill="F2F5F9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隱含本益比</w:t>
            </w:r>
          </w:p>
        </w:tc>
        <w:tc>
          <w:tcPr>
            <w:tcW w:type="dxa" w:w="7597"/>
            <w:shd w:val="clear" w:fill="F2F5F9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以 2027 年 EPS 15.88 元計，800 元約 50.4 倍 PE（本系統回算）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產業</w:t>
            </w:r>
          </w:p>
        </w:tc>
        <w:tc>
          <w:tcPr>
            <w:tcW w:type="dxa" w:w="7597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光通訊－雷射晶粒／光收發模組（DCI、CW Laser、EML）</w:t>
            </w:r>
          </w:p>
        </w:tc>
      </w:tr>
    </w:tbl>
    <w:p>
      <w:pPr>
        <w:spacing w:after="40"/>
      </w:pPr>
    </w:p>
    <w:p>
      <w:pPr>
        <w:spacing w:before="120" w:after="80"/>
      </w:pPr>
      <w:r>
        <w:rPr>
          <w:rFonts w:ascii="Microsoft JhengHei" w:hAnsi="Microsoft JhengHei" w:eastAsia="Microsoft JhengHei"/>
          <w:b/>
          <w:color w:val="1F3B63"/>
          <w:sz w:val="24"/>
        </w:rPr>
        <w:t>二、投資論點</w:t>
      </w:r>
    </w:p>
    <w:p>
      <w:pPr>
        <w:spacing w:after="60" w:line="276" w:lineRule="auto"/>
      </w:pPr>
      <w:r>
        <w:rPr>
          <w:rFonts w:ascii="Microsoft JhengHei" w:hAnsi="Microsoft JhengHei" w:eastAsia="Microsoft JhengHei"/>
          <w:b w:val="0"/>
          <w:sz w:val="20"/>
        </w:rPr>
        <w:t>・獲利爆發：統一投顧預估 2027 年 EPS 達 15.88 元，較今年成長逾 1 倍。</w:t>
      </w:r>
    </w:p>
    <w:p>
      <w:pPr>
        <w:spacing w:after="60" w:line="276" w:lineRule="auto"/>
      </w:pPr>
      <w:r>
        <w:rPr>
          <w:rFonts w:ascii="Microsoft JhengHei" w:hAnsi="Microsoft JhengHei" w:eastAsia="Microsoft JhengHei"/>
          <w:b w:val="0"/>
          <w:sz w:val="20"/>
        </w:rPr>
        <w:t>・三大產品線同步放量：800G DCI（資料中心互連）已進入量產；CW Laser（連續波雷射，供 CPO／矽光子使用）需求持續增溫；EML 開始量產。</w:t>
      </w:r>
    </w:p>
    <w:p>
      <w:pPr>
        <w:spacing w:after="60" w:line="276" w:lineRule="auto"/>
      </w:pPr>
      <w:r>
        <w:rPr>
          <w:rFonts w:ascii="Microsoft JhengHei" w:hAnsi="Microsoft JhengHei" w:eastAsia="Microsoft JhengHei"/>
          <w:b w:val="0"/>
          <w:sz w:val="20"/>
        </w:rPr>
        <w:t>・近期營運驗證：7 月自結 EPS 達 0.92 元。</w:t>
      </w:r>
    </w:p>
    <w:p>
      <w:pPr>
        <w:spacing w:after="60" w:line="276" w:lineRule="auto"/>
      </w:pPr>
      <w:r>
        <w:rPr>
          <w:rFonts w:ascii="Microsoft JhengHei" w:hAnsi="Microsoft JhengHei" w:eastAsia="Microsoft JhengHei"/>
          <w:b w:val="0"/>
          <w:sz w:val="20"/>
        </w:rPr>
        <w:t>・產能翻倍：2027 年雷射晶粒月產能將由 600 萬顆倍增至 1,200 萬顆。</w:t>
      </w:r>
    </w:p>
    <w:p>
      <w:pPr>
        <w:spacing w:after="60" w:line="276" w:lineRule="auto"/>
      </w:pPr>
      <w:r>
        <w:rPr>
          <w:rFonts w:ascii="Microsoft JhengHei" w:hAnsi="Microsoft JhengHei" w:eastAsia="Microsoft JhengHei"/>
          <w:b w:val="0"/>
          <w:sz w:val="20"/>
        </w:rPr>
        <w:t>・能見度延長：2028 年再增建約 1 萬平方公尺無塵室，客戶需求能見度已延伸至 2028 年。</w:t>
      </w:r>
    </w:p>
    <w:p>
      <w:pPr>
        <w:spacing w:before="120" w:after="80"/>
      </w:pPr>
      <w:r>
        <w:rPr>
          <w:rFonts w:ascii="Microsoft JhengHei" w:hAnsi="Microsoft JhengHei" w:eastAsia="Microsoft JhengHei"/>
          <w:b/>
          <w:color w:val="1F3B63"/>
          <w:sz w:val="24"/>
        </w:rPr>
        <w:t>三、風險與原文未揭露之處</w:t>
      </w:r>
    </w:p>
    <w:p>
      <w:pPr>
        <w:spacing w:after="60" w:line="276" w:lineRule="auto"/>
      </w:pPr>
      <w:r>
        <w:rPr>
          <w:rFonts w:ascii="Microsoft JhengHei" w:hAnsi="Microsoft JhengHei" w:eastAsia="Microsoft JhengHei"/>
          <w:b w:val="0"/>
          <w:sz w:val="20"/>
        </w:rPr>
        <w:t>・追價風險：09/04 當日已漲停 +9.97% 收 629 元，短線籌碼浮動，目標價 800 元的上檔空間可能已被部分反映。</w:t>
      </w:r>
    </w:p>
    <w:p>
      <w:pPr>
        <w:spacing w:after="60" w:line="276" w:lineRule="auto"/>
      </w:pPr>
      <w:r>
        <w:rPr>
          <w:rFonts w:ascii="Microsoft JhengHei" w:hAnsi="Microsoft JhengHei" w:eastAsia="Microsoft JhengHei"/>
          <w:b w:val="0"/>
          <w:sz w:val="20"/>
        </w:rPr>
        <w:t>・★評價基準未完整揭露：原文未載明給予的本益比倍數與計算年度，本系統以 2027 年 EPS 回算約 50.4 倍，屬偏高評價，須有成長持續兌現才能支撐。</w:t>
      </w:r>
    </w:p>
    <w:p>
      <w:pPr>
        <w:spacing w:after="60" w:line="276" w:lineRule="auto"/>
      </w:pPr>
      <w:r>
        <w:rPr>
          <w:rFonts w:ascii="Microsoft JhengHei" w:hAnsi="Microsoft JhengHei" w:eastAsia="Microsoft JhengHei"/>
          <w:b w:val="0"/>
          <w:sz w:val="20"/>
        </w:rPr>
        <w:t>・獲利預估跳升幅度大：2027 年 EPS 較 2026 年翻倍以上，屬高度樂觀假設，若 CPO／矽光子放量時程遞延，預估將面臨下修。</w:t>
      </w:r>
    </w:p>
    <w:p>
      <w:pPr>
        <w:spacing w:after="60" w:line="276" w:lineRule="auto"/>
      </w:pPr>
      <w:r>
        <w:rPr>
          <w:rFonts w:ascii="Microsoft JhengHei" w:hAnsi="Microsoft JhengHei" w:eastAsia="Microsoft JhengHei"/>
          <w:b w:val="0"/>
          <w:sz w:val="20"/>
        </w:rPr>
        <w:t>・產能開出即需求風險：月產能 600 萬→1,200 萬顆為 2027 年事，產能開出後若需求不如預期，將直接壓縮稼動率與毛利率。</w:t>
      </w:r>
    </w:p>
    <w:p>
      <w:pPr>
        <w:spacing w:after="60" w:line="276" w:lineRule="auto"/>
      </w:pPr>
      <w:r>
        <w:rPr>
          <w:rFonts w:ascii="Microsoft JhengHei" w:hAnsi="Microsoft JhengHei" w:eastAsia="Microsoft JhengHei"/>
          <w:b w:val="0"/>
          <w:sz w:val="20"/>
        </w:rPr>
        <w:t>・★原文未列風險段落，以上為本系統依內容推導。</w:t>
      </w:r>
    </w:p>
    <w:p>
      <w:pPr>
        <w:spacing w:before="120" w:after="80"/>
      </w:pPr>
      <w:r>
        <w:rPr>
          <w:rFonts w:ascii="Microsoft JhengHei" w:hAnsi="Microsoft JhengHei" w:eastAsia="Microsoft JhengHei"/>
          <w:b/>
          <w:color w:val="1F3B63"/>
          <w:sz w:val="24"/>
        </w:rPr>
        <w:t>四、來源連結</w:t>
      </w:r>
    </w:p>
    <w:p>
      <w:pPr>
        <w:spacing w:after="20" w:line="276" w:lineRule="auto"/>
      </w:pPr>
      <w:r>
        <w:rPr>
          <w:rFonts w:ascii="Microsoft JhengHei" w:hAnsi="Microsoft JhengHei" w:eastAsia="Microsoft JhengHei"/>
          <w:b w:val="0"/>
          <w:color w:val="444444"/>
          <w:sz w:val="17"/>
        </w:rPr>
        <w:t>・工商時報 20260907700179：https://www.ctee.com.tw/news/20260907700179-430201</w:t>
      </w:r>
    </w:p>
    <w:p>
      <w:pPr>
        <w:spacing w:after="20" w:line="276" w:lineRule="auto"/>
      </w:pPr>
      <w:r>
        <w:rPr>
          <w:rFonts w:ascii="Microsoft JhengHei" w:hAnsi="Microsoft JhengHei" w:eastAsia="Microsoft JhengHei"/>
          <w:b w:val="0"/>
          <w:color w:val="444444"/>
          <w:sz w:val="17"/>
        </w:rPr>
        <w:t>・行情：鉅亨網個股頁 4979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16"/>
        </w:rPr>
      </w:r>
    </w:p>
    <w:p>
      <w:pPr>
        <w:spacing w:after="40" w:line="276" w:lineRule="auto"/>
      </w:pPr>
      <w:r>
        <w:rPr>
          <w:rFonts w:ascii="Microsoft JhengHei" w:hAnsi="Microsoft JhengHei" w:eastAsia="Microsoft JhengHei"/>
          <w:b/>
          <w:color w:val="993333"/>
          <w:sz w:val="17"/>
        </w:rPr>
        <w:t>本摘要依公開新聞整理，非完整報告。標示★者為原文未載或本系統回算。</w:t>
      </w:r>
    </w:p>
    <w:sectPr w:rsidR="00FC693F" w:rsidRPr="0006063C" w:rsidSect="00034616">
      <w:headerReference r:id="rId9" w:type="default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