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864"/>
          <w:sz w:val="30"/>
        </w:rPr>
        <w:t>華碩(2357)　＋ 技嘉(2376)／微星(2377)／華擎(3515)　券商觀點摘要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產業：PC／主機板／AI 伺服器　│　場次：2026/07/28 早盤　│　全市場掃描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361"/>
        <w:gridCol w:w="1474"/>
        <w:gridCol w:w="4422"/>
      </w:tblGrid>
      <w:tr>
        <w:tc>
          <w:tcPr>
            <w:tcW w:type="dxa" w:w="238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3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4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</w:t>
            </w:r>
          </w:p>
        </w:tc>
        <w:tc>
          <w:tcPr>
            <w:tcW w:type="dxa" w:w="442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評價基礎／重點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華碩(2357)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1,200 元</w:t>
            </w:r>
          </w:p>
        </w:tc>
        <w:tc>
          <w:tcPr>
            <w:tcW w:type="dxa" w:w="4422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2027 年 EPS 81.8 元 × 15 倍 PE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技嘉(2376)</w:t>
            </w:r>
          </w:p>
        </w:tc>
        <w:tc>
          <w:tcPr>
            <w:tcW w:type="dxa" w:w="1361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474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440 元</w:t>
            </w:r>
          </w:p>
        </w:tc>
        <w:tc>
          <w:tcPr>
            <w:tcW w:type="dxa" w:w="4422"/>
            <w:shd w:val="clear" w:color="auto" w:fill="EEF2F8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AI Server 比重高、RTX Spark 貢獻營收/獲利 3%/4%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微星(2377)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160 元</w:t>
            </w:r>
          </w:p>
        </w:tc>
        <w:tc>
          <w:tcPr>
            <w:tcW w:type="dxa" w:w="4422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PC 漲價 + RTX Spark 貢獻營收/獲利 7%/9%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華擎(3515)</w:t>
            </w:r>
          </w:p>
        </w:tc>
        <w:tc>
          <w:tcPr>
            <w:tcW w:type="dxa" w:w="1361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474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310 元</w:t>
            </w:r>
          </w:p>
        </w:tc>
        <w:tc>
          <w:tcPr>
            <w:tcW w:type="dxa" w:w="4422"/>
            <w:shd w:val="clear" w:color="auto" w:fill="EEF2F8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AI Server 占比高，受惠 CSP 資本支出上修</w:t>
            </w:r>
          </w:p>
        </w:tc>
      </w:tr>
    </w:tbl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投資論點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出具機構為本土大咖投顧（未具名），一份報告同時將華碩、技嘉、微星、華擎 4 檔列為「買進」評等。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PC 產業面：今年 PC 受上游原物料大漲，出貨量衰退接近雙位數，但下游轉嫁平均漲價 15~20%，整體 PC 產值仍正成長約 5%；促銷減少使費用率下滑，2026 年 PC 獲利呈正成長。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AI Server 面：各大 CSP 法說會對 2026 年資本支出展望高度樂觀，年增預估由 64% 上修至 85.9%，2027 年仍有雙位數以上年增，對 AI Server 比重高的華碩、技嘉、華擎有利。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華碩個股邏輯：下半年受惠 NVIDIA 新品 VR200，2026／2027 年 Server 營收估年增 119%／18%，為主要成長來源；2026Q4 推出 RTX Spark 相關產品、2027 年量產，估 2027 年貢獻營收 700 億元、占比 6.5%，毛利率優於公司平均 14% 以上。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RTX Spark 產品規格：搭載 Blackwell RTX GPU 與 20 核 Grace CPU、128GB 統一記憶體，採台積電 3 奈米製程，NVLink 連結聯發科打造的 Grace CPU，估單價每台 10 萬元，2027 年 NB 滲透率有機會達 5%（約 1,000 萬台）。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生成式 AI 市場：Fortune Business Insights 估 2026 年規模約 1,610 億美元，2034 年成長至 1.26 兆美元，CAGR 39.6%。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風險與待確認事項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RTX Spark 的滲透率假設（2027 年 NB 5%、約 1,000 萬台）是華碩目標價的關鍵變數，單價 10 萬元的高階定位在消費端普及速度存在不確定性。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華碩目標價採 2027 年 EPS × 15 倍 PE，估值往後推一年，若 2026 年獲利不如預期，評價基礎會被重新檢視。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PC 本業仍靠「漲價轉嫁」支撐產值，若上游原物料漲勢趨緩而終端需求未回升，漲價紅利可能反轉。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報告機構未具名，4 檔目標價之舊值均未揭露，無法判斷本次是初評、調升或維持，待確認。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FTNN 新聞網 2026/7/28 06:06 電腦主機板4檔評等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https://www.ftnn.com.tw/news/564791</w:t>
      </w:r>
    </w:p>
    <w:p>
      <w:pPr>
        <w:spacing w:before="200"/>
      </w:pPr>
      <w:r>
        <w:rPr>
          <w:rFonts w:ascii="Microsoft JhengHei" w:hAnsi="Microsoft JhengHei" w:eastAsia="Microsoft JhengHei"/>
          <w:b/>
          <w:color w:val="888888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