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sz w:val="30"/>
        </w:rPr>
        <w:t>華碩（2357）　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凱基投顧　｜　整理日 2026-08-17（早盤場次）</w:t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82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凱基投顧（具名）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內外資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原文未載制式評等文字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元（原文未載前值）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見報日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2026/08/17 03:00（工商時報，記者簡威瑟）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電子代工／PC 品牌－AI 伺服器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原文未載凱基投顧自身之 EPS 預估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本系統既有序列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本土大咖投顧（未具名）買進 1,200 元（2026/07/28）；FactSet 外資共識 860 元（2026/08/13）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相對位置</w:t>
            </w:r>
          </w:p>
        </w:tc>
        <w:tc>
          <w:tcPr>
            <w:tcW w:type="dxa" w:w="782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元高於 FactSet 共識 860 元約 27.9%，低於 7/28 本土投顧 1,200 元約 8.3%（本系統回算）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二、論點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★本則為本場次唯一的內資具名券商觀點。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凱基投顧與花旗環球證券「同步」將華碩股價預期升至 1,100 元，內外資給出完全相同的數字，此為較少見的情況。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共同的產業背景：華碩 Q2 營益率優於預期、EPS 25.64 元超越共識；AI 伺服器營收提升，GB 機櫃已占伺服器營收約 30%；管理階層展望 Q3 伺服器營收季增 10%～15%。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三、風險與資訊限制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★本則資訊層級偏低：原文僅載「花旗環球、凱基投顧將華碩股價預期同步升至 1,100 元」一句，未載凱基投顧的個別論述、EPS 預估、目標本益比、評等代碼、目標價前值與報告出具日期，1,100 元無法回算驗證。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★由於數字與花旗環球完全相同，無法排除兩者互相參照或報導併稱的可能，不應視為兩個獨立訊號。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本摘要的所有基本面數字均來自同一篇報導中花旗環球的段落，不必然等同凱基投顧的模型假設。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同窗口內摩根士丹利下修 Q3 筆電出貨 6%，對華碩 PC 品牌業務為逆風，本則未討論。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四、來源連結</w:t>
      </w:r>
    </w:p>
    <w:p>
      <w:pPr>
        <w:spacing w:after="0" w:before="0"/>
        <w:ind w:left="283"/>
      </w:pPr>
      <w:r>
        <w:rPr>
          <w:rFonts w:ascii="Microsoft JhengHei" w:hAnsi="Microsoft JhengHei" w:eastAsia="Microsoft JhengHei" w:cs="Microsoft JhengHei"/>
          <w:b w:val="0"/>
          <w:sz w:val="18"/>
        </w:rPr>
        <w:t>AI伺服器吞補！外資按讚華碩千金股 廣達目標價潛在漲幅近翻倍（工商時報 2026.08.17 03:00）</w:t>
      </w:r>
    </w:p>
    <w:p>
      <w:pPr>
        <w:spacing w:after="80" w:before="0"/>
        <w:ind w:left="283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>https://www.ctee.com.tw/news/20260817700175-430201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