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華碩(2357)　個股摘要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8"/>
        </w:rPr>
        <w:t>資料來源：FactSet 外資共識（鉅亨網外資評等表）　評等日 2026/08/17　場次：2026/08/17 盤後　製表：旺來 wowwow31001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8277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券商／來源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FactSet 外資共識（非單一機構研究報告）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外資／內資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外資共識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產業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電子代工／PC 品牌－AI 伺服器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本表評等欄位為空，原始資料未載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新目標價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1030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前次目標價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本表未載前值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評等日現價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938 元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隱含空間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+9.81%（本系統回算）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報告出具日期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</w:t>
            </w:r>
          </w:p>
        </w:tc>
      </w:tr>
    </w:tbl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二、論點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本筆的最大價值在於交叉對照：本日早盤場次已收錄花旗環球證券（具名）與凱基投顧（具名）同步給出完全相同的 1100 元。FactSet 外資共識 1030 元較 1100 元低 6.36%（本系統回算）。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亦即 1100 元高於群體共識但幅度溫和，並非離群值，與野村給廣達 626 元較共識高 51.8% 的情況性質完全不同。旺來可據此判斷：華碩 1100 元屬「共識偏樂觀端」，廣達 626 元屬「顯著偏離共識」。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本系統既有序列：本土大咖投顧買進 1200 元（2026/07/28）、FactSet 外資共識 860 元（2026/08/13）。共識由 8/13 的 860 元升至 8/17 的 1030 元，13 個交易日內上修約 19.77%（本系統回算），與 Q2 財報後外資群體上修的時序吻合。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1030 元對 8/17 現價 938 元隱含約 +9.81%（本系統回算），空間已明顯收斂。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三、風險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本則為共識數字，本表評等欄位為空，無評等、無論述、無 EPS 預估與目標本益比，1030 元無法回算驗證。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★ 共識 1030 元與具名券商 1100 元之間的 6.36% 差距不宜視為「安全邊際」，因兩者評價年度可能不同（花旗環球 2026 年 EPS 78.03 元、2027 年 85 元，FactSet 共識採用年度未載）。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同窗口內摩根士丹利下修 Q3 筆電出貨 6% 至 2,730 萬台（季減 10%、年減 20%），華碩 PC 本業面臨明確逆風，該則與本次上修敘事方向相反，兩則應並讀。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20"/>
        </w:rPr>
        <w:t>． 花旗環球本身即明言產品組合轉向機櫃級可能壓抑毛利率，整套多頭邏輯建立在營運槓桿勝過毛利率稀釋之上，原文未做敏感度分析。</w:t>
      </w:r>
    </w:p>
    <w:p>
      <w:pPr>
        <w:spacing w:before="180" w:after="6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鉅亨網 外資評等表（針對國外法人 QFII 所發佈個股評等的統計總表，評等日 20260817）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https://www.cnyes.com/twstock/board/ratediff.aspx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8"/>
        </w:rPr>
        <w:t>． 8月17日盤前／AI 供應鏈重回主軸 台股躍過4萬6 亟欲重戰新高（經濟日報 2026/08/17 08:11，盤面與籌碼數據）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color w:val="1F4E79"/>
          <w:sz w:val="17"/>
        </w:rPr>
        <w:t xml:space="preserve">　　https://money.udn.com/money/story/5607/9695573</w:t>
      </w:r>
    </w:p>
    <w:p>
      <w:pPr>
        <w:spacing w:after="80" w:before="0"/>
      </w:pP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本摘要依公開新聞整理，非完整報告。FactSet 為分析師共識統計，非任何單一機構之研究報告；本表未提供評等文字、EPS 預估與目標本益比，目標價無法獨立回算驗證，不構成投資建議。</w:t>
      </w:r>
    </w:p>
    <w:sectPr w:rsidR="00FC693F" w:rsidRPr="0006063C" w:rsidSect="00034616">
      <w:headerReference w:type="default" r:id="rId9"/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 w:cs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