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 w:cs="Microsoft JhengHei"/>
          <w:b/>
          <w:color w:val="1F3B73"/>
          <w:sz w:val="34"/>
        </w:rPr>
        <w:t>華碩 (2357)　個股研究觀點摘要</w:t>
      </w:r>
    </w:p>
    <w:p>
      <w:pPr>
        <w:spacing w:after="200"/>
        <w:jc w:val="center"/>
      </w:pPr>
      <w:r>
        <w:rPr>
          <w:rFonts w:ascii="Microsoft JhengHei" w:hAnsi="Microsoft JhengHei" w:eastAsia="Microsoft JhengHei" w:cs="Microsoft JhengHei"/>
          <w:b w:val="0"/>
          <w:color w:val="666666"/>
          <w:sz w:val="20"/>
        </w:rPr>
        <w:t>券商：金控旗下投顧（★未具名）　｜　日期：2026 年 9 月 11 日（早盤場次）</w:t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65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個股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華碩 (2357)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金控旗下投顧（★未具名）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類別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電腦及週邊－AI 伺服器／AI PC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目標價（前值）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報告日期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2026-09-11（新聞見報日）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二、投資論點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・AI 伺服器業務持續強勁，客戶涵蓋 CSP、Neo cloud 與主權 AI。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・伺服器營收中 9 成由 AI 貢獻，預期伺服器今年全年營收成長 150%。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・AI PC 第 2 季已在消費型筆電營收中達 30% 占比；未來二至三年 AI PC、邊緣 AI 將引發產品升級循環。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・ProArt P16 與 ProArt P14 首波已預購一空，新品第 4 季出貨。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三、風險與觀察重點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・記憶體成本上升推升 PC 單位售價，對終端需求的壓抑程度為觀察重點。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・★原文未載目標價，亦未載前值，僅載「買進」評等。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・券商為「金控旗下投顧」★未具名，無法對應特定機構。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四、來源連結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・工商時報｜華碩、富世達 高價股受矚目　https://www.ctee.com.tw/news/20260911700289-430203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200"/>
      </w:pPr>
      <w:r>
        <w:rPr>
          <w:rFonts w:ascii="Microsoft JhengHei" w:hAnsi="Microsoft JhengHei" w:eastAsia="Microsoft JhengHei" w:cs="Microsoft JhengHei"/>
          <w:b/>
          <w:color w:val="993333"/>
          <w:sz w:val="18"/>
        </w:rPr>
        <w:t>本摘要依公開新聞整理，非完整報告。原文未載之數字一律標示「★原文未載」，未作任何推估。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