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Microsoft JhengHei" w:hAnsi="Microsoft JhengHei" w:eastAsia="Microsoft JhengHei" w:cs="Microsoft JhengHei"/>
          <w:b/>
          <w:color w:val="1F3864"/>
          <w:sz w:val="32"/>
        </w:rPr>
        <w:t>華航（2610）｜Factset 分析師共識　2026 年 EPS 上修至 1.99 元，目標價 24.5 元</w:t>
      </w:r>
    </w:p>
    <w:p>
      <w:pPr>
        <w:spacing w:after="120" w:before="0"/>
      </w:pPr>
      <w:r>
        <w:rPr>
          <w:rFonts w:ascii="Microsoft JhengHei" w:hAnsi="Microsoft JhengHei" w:eastAsia="Microsoft JhengHei" w:cs="Microsoft JhengHei"/>
          <w:b w:val="0"/>
          <w:color w:val="595959"/>
          <w:sz w:val="18"/>
        </w:rPr>
        <w:t>2026/07/28 08:12 發布　｜　外資圈共識　｜　航空運輸　｜　7/28 收 21.75 元（+2.35%，大盤重挫下逆勢收紅）</w:t>
      </w:r>
    </w:p>
    <w:p>
      <w:pPr>
        <w:spacing w:after="40"/>
        <w:pBdr>
          <w:bottom w:val="single" w:sz="6" w:space="1" w:color="BFBFBF"/>
        </w:pBdr>
      </w:pPr>
    </w:p>
    <w:p>
      <w:pPr>
        <w:spacing w:after="60" w:before="160"/>
      </w:pPr>
      <w:r>
        <w:rPr>
          <w:rFonts w:ascii="Microsoft JhengHei" w:hAnsi="Microsoft JhengHei" w:eastAsia="Microsoft JhengHei" w:cs="Microsoft JhengHei"/>
          <w:b/>
          <w:color w:val="1F3864"/>
          <w:sz w:val="24"/>
        </w:rPr>
        <w:t>一、評等／目標價摘要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1F386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7087"/>
            <w:shd w:val="clear" w:color="auto" w:fill="1F386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內容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資料來源／類別</w:t>
            </w:r>
          </w:p>
        </w:tc>
        <w:tc>
          <w:tcPr>
            <w:tcW w:type="dxa" w:w="7087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Factset 最新調查（10 位分析師）／外資圈共識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評等</w:t>
            </w:r>
          </w:p>
        </w:tc>
        <w:tc>
          <w:tcPr>
            <w:tcW w:type="dxa" w:w="7087"/>
            <w:shd w:val="clear" w:color="auto" w:fill="F2F2F2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共識調查未列評等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目標價</w:t>
            </w:r>
          </w:p>
        </w:tc>
        <w:tc>
          <w:tcPr>
            <w:tcW w:type="dxa" w:w="7087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24.5 元（7/17 前次調查為 24 元，調升約 2.1%）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2026 年 EPS</w:t>
            </w:r>
          </w:p>
        </w:tc>
        <w:tc>
          <w:tcPr>
            <w:tcW w:type="dxa" w:w="7087"/>
            <w:shd w:val="clear" w:color="auto" w:fill="F2F2F2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中位數由 1.85 元上修至 1.99 元（最高 2.34、最低 1.38、平均 1.98）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2027 年 EPS</w:t>
            </w:r>
          </w:p>
        </w:tc>
        <w:tc>
          <w:tcPr>
            <w:tcW w:type="dxa" w:w="7087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中位數 2.14 元；2028 年 2.51 元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2026 年營收</w:t>
            </w:r>
          </w:p>
        </w:tc>
        <w:tc>
          <w:tcPr>
            <w:tcW w:type="dxa" w:w="7087"/>
            <w:shd w:val="clear" w:color="auto" w:fill="F2F2F2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中位數 2,397.00 億元（2025 年實績 2,091.39 億元）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歷史獲利</w:t>
            </w:r>
          </w:p>
        </w:tc>
        <w:tc>
          <w:tcPr>
            <w:tcW w:type="dxa" w:w="7087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2025 年稅後 147.00 億元、2024 年 143.83 億元</w:t>
            </w:r>
          </w:p>
        </w:tc>
      </w:tr>
    </w:tbl>
    <w:p>
      <w:pPr>
        <w:spacing w:after="60" w:before="200"/>
      </w:pPr>
      <w:r>
        <w:rPr>
          <w:rFonts w:ascii="Microsoft JhengHei" w:hAnsi="Microsoft JhengHei" w:eastAsia="Microsoft JhengHei" w:cs="Microsoft JhengHei"/>
          <w:b/>
          <w:color w:val="1F3864"/>
          <w:sz w:val="24"/>
        </w:rPr>
        <w:t>二、論點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20"/>
        </w:rPr>
        <w:t>• 7/28 大盤重挫 4.65% 下，華航逆勢上漲 2.35% 收 21.75 元，為少數收紅族群，資金明顯由 AI 科技股輪動至防禦性／傳產。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20"/>
        </w:rPr>
        <w:t>• 上修驅動：油價回跌（美伊暫停交火帶動國際油價 7/27 重挫約 5%）＋暑假旺季客運動能，帶動三大航空營收表現。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20"/>
        </w:rPr>
        <w:t>• EPS 成長曲線平緩但穩定：2026／27／28 年中位數 1.99／2.14／2.51 元，年增率約 7.5%／17.3%。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20"/>
        </w:rPr>
        <w:t>• 目標價 24.5 元相對 7/28 收盤 21.75 元隱含約 12.6% 上漲空間，評價修復空間相對有限但確定性較高。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20"/>
        </w:rPr>
        <w:t>• 與 7/27 已收錄之第一金證券對長榮航（2618）「看多、目標價 48 元」呼應，航空族群近期同步獲法人上修。</w:t>
      </w:r>
    </w:p>
    <w:p>
      <w:pPr>
        <w:spacing w:after="60" w:before="200"/>
      </w:pPr>
      <w:r>
        <w:rPr>
          <w:rFonts w:ascii="Microsoft JhengHei" w:hAnsi="Microsoft JhengHei" w:eastAsia="Microsoft JhengHei" w:cs="Microsoft JhengHei"/>
          <w:b/>
          <w:color w:val="C00000"/>
          <w:sz w:val="24"/>
        </w:rPr>
        <w:t>三、風險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20"/>
        </w:rPr>
        <w:t>• 油價波動：川普強調「所有選項都留在檯面上」，美伊局勢若再升溫，燃油成本將快速反噬獲利。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20"/>
        </w:rPr>
        <w:t>• EPS 估值區間 1.38–2.34 元，離散度約 70%，反映客貨運組合與油價假設差異大。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20"/>
        </w:rPr>
        <w:t>• 2027 年營收中位數 2,324.76 億元低於 2026 年的 2,397.00 億元，隱含市場預期營收動能於 2026 年見高。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20"/>
        </w:rPr>
        <w:t>• 航空為景氣循環末端族群，若全球去槓桿造成需求走弱，旺季過後動能恐轉弱。</w:t>
      </w:r>
    </w:p>
    <w:p>
      <w:pPr>
        <w:spacing w:after="60" w:before="160"/>
      </w:pPr>
      <w:r>
        <w:rPr>
          <w:rFonts w:ascii="Microsoft JhengHei" w:hAnsi="Microsoft JhengHei" w:eastAsia="Microsoft JhengHei" w:cs="Microsoft JhengHei"/>
          <w:b/>
          <w:color w:val="1F3864"/>
          <w:sz w:val="22"/>
        </w:rPr>
        <w:t>資料來源</w:t>
      </w:r>
    </w:p>
    <w:p>
      <w:pPr>
        <w:spacing w:after="40"/>
        <w:pBdr>
          <w:bottom w:val="single" w:sz="6" w:space="1" w:color="BFBFBF"/>
        </w:pBdr>
      </w:pPr>
    </w:p>
    <w:p>
      <w:pPr>
        <w:spacing w:after="20"/>
      </w:pPr>
      <w:r>
        <w:rPr>
          <w:rFonts w:ascii="Microsoft JhengHei" w:hAnsi="Microsoft JhengHei" w:eastAsia="Microsoft JhengHei" w:cs="Microsoft JhengHei"/>
          <w:b w:val="0"/>
          <w:color w:val="595959"/>
          <w:sz w:val="18"/>
        </w:rPr>
        <w:t xml:space="preserve">• 鉅亨 07/28｜Factset：華航 EPS 預估上修至 1.99 元，預估目標價 24.5 元  </w:t>
      </w:r>
      <w:r>
        <w:rPr>
          <w:rFonts w:ascii="Microsoft JhengHei" w:hAnsi="Microsoft JhengHei" w:eastAsia="Microsoft JhengHei" w:cs="Microsoft JhengHei"/>
          <w:b w:val="0"/>
          <w:color w:val="005AA0"/>
          <w:sz w:val="18"/>
        </w:rPr>
        <w:t>https://news.cnyes.com/news/id/6547455</w:t>
      </w:r>
    </w:p>
    <w:p>
      <w:pPr>
        <w:spacing w:after="80" w:before="200"/>
        <w:jc w:val="center"/>
      </w:pPr>
      <w:r>
        <w:rPr>
          <w:rFonts w:ascii="Microsoft JhengHei" w:hAnsi="Microsoft JhengHei" w:eastAsia="Microsoft JhengHei" w:cs="Microsoft JhengHei"/>
          <w:b/>
          <w:color w:val="595959"/>
          <w:sz w:val="18"/>
        </w:rPr>
        <w:t>本摘要依公開新聞整理，非完整報告</w:t>
      </w:r>
    </w:p>
    <w:sectPr w:rsidR="00FC693F" w:rsidRPr="0006063C" w:rsidSect="00034616">
      <w:headerReference w:type="default" r:id="rId9"/>
      <w:pgSz w:w="12240" w:h="15840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