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華航 2610／長榮航 2618（航空雙雄合併）（2610／2618）券商觀點摘要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航空運輸｜整理日期 2026/08/24（盤後場次）｜本摘要依公開新聞整理，非完整報告</w:t>
      </w:r>
    </w:p>
    <w:p>
      <w:pPr>
        <w:spacing w:after="120"/>
      </w:pPr>
      <w:r>
        <w:rPr>
          <w:rFonts w:ascii="Microsoft JhengHei" w:hAnsi="Microsoft JhengHei" w:eastAsia="Microsoft JhengHei"/>
          <w:b/>
          <w:color w:val="800000"/>
          <w:sz w:val="20"/>
        </w:rPr>
        <w:t>★ 本摘要合併華航（2610）與長榮航（2618）兩檔，以華航為主署名（僅華航有目標價）。長榮航資料夾內不另建檔。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本土投顧（★原文未具名）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★調升至買進（前評等原文未載）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23.2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華航 2610；PBR 1.12 倍處歷史下緣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本土投顧（★原文未具名）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★調升至買進（前評等原文未載）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★原文未載目標價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長榮航 2618；★有評等無目標價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本筆為補收錄：原稿見報 2026/08/24 03:00（工商時報記者鄭郁平，權證專版），落在本日早盤場次窗口（08/23 19:10 至 08/24 08:10）之內，該場次逐版檢視時未覆蓋到此則，本場次由文章頁補回。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兩檔同步由原評等調升至買進，★這是本場次唯一的「評等調升」動作（其餘多為目標價調升或維持），★方向性訊號強度高於單純調價。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長榮航 2618 營運面＝Q2 營收 677.7 億元、★年增 22.5%；客運運量年增 10.2%；★貨運單位收益年增 37.5%。高載客率加上貨運運價，抵銷高油價衝擊。預估 Q3 營收 652.9 億元、EPS 1.16 元（年增 6.7%）；★7 月貨運單位收益上看年增 38%。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華航 2610 評價面（本則唯一有評價方法者）＝歷史 PBR 多落在 0.5～2.5 倍，★目前 1.12 倍、處歷史下緣。★加上油價中長期趨勢向下舒緩成本壓力、貨運 Q4 續旺，故調升至買進、目標價 23.2 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本則的核心邏輯是「貨運強於客運」＋「評價位階偏低」＋「油價向下」三者疊加，★三項當中只有評價位階是當下可驗證的事實，另外兩項皆為預期。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最大問題是來源層級：★券商名稱完全未揭露，僅稱本土投顧，★無法判斷是投顧、本國券商或自營，也無法建立該機構對兩檔的目標價序列。建議在採用 23.2 元前先取得券商名稱。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出處為工商時報權證專版，原文附有制式聲明「權證投資必有風險，本專區資訊僅供參考，並不構成邀約、招攬或其他任何建議與推薦」。★權證專版的個股觀點與正式賣方研究報告性質不同，資訊層級應打折看待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長榮航只有評等調升、★完全沒有目標價，★無法計算風險報酬比，本筆對長榮航而言僅是方向性訊號。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華航 23.2 元未載前值、未載目標 PBR 倍數、未載 2026／2027 年 EPS 或每股淨值預估。★雖然原文提供了 PBR 區間 0.5～2.5 倍與現值 1.12 倍，★但沒有每股淨值絕對值就無法回算 23.2 元對應的目標 PBR，★評價仍不可驗證。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兩檔皆未提供基準收盤價，隱含空間無法回算。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原文未載任何風險段落，★僅以「油價」作為變數被動帶過。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「油價中長期趨勢向下」是本則成本端的核心假設，★但原文未提供油價假設區間，亦未做敏感度試算。★航空股獲利對油價極度敏感，此為本檔單一最大變數，★而該假設本身在中東航線運費飆破 1 萬美元、地緣風險升溫的背景下並不穩固。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「貨運 Q4 續旺」是需求端核心假設。★貨運單位收益年增 37.5%／38% 屬於高基期，★2027 年同期將面臨極高的比較基準，原文未討論基期效應。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華航「PBR 處歷史下緣」是本則最有力的論點，★但低 PBR 也可能反映市場對航空業結構性獲利能力的長期折價，★便宜不等於會回歸，原文未解釋為何此次會回歸。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本則為新聞轉述非報告原文，未載分析師姓名與報告出具日期。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工商時報〈迎旺季 長榮航、華航權證靚〉（2026/08/24 03:00，記者鄭郁平，權證專版）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https://www.ctee.com.tw/news/20260824700223-430203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