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華通（2313）券商觀點摘要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資料日期：2026/07/27｜券商：本土法人（未具名，內資）｜產業：PCB／HDI（低軌衛星）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315 元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EPS 預估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2027 年 13.1 元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參考股價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7/24 收 201.5 元（單日跌5.84%）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SpaceX 已向美國 FCC 申請發射、營運第三代衛星，規模上看10萬顆，服務對象鎖定 AI 應用、企業與政府單位。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第三代部分軌道運行於323～327.5公里之極低軌道（VLEO），延遲更低、頻譜利用效率更高，可望成為首批具規模的 VLEO 通訊衛星部署。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法人估 SpaceX 今明兩年分別新增4,000顆、6,000顆衛星；下半年起部署 V3，單次 Starlink 發射上限由29顆提升至60顆，產業成長加速。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Amazon LEO 今明兩年估分別新增400顆、630顆衛星，同步挹注昇達科、華通等台廠訂單。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用戶數增加帶動地面端消費性設備需求，相關台廠供應鏈同步受惠。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Q2 衛星新增數低於預期，發射節奏仍具變數；Blue Origin、Atlas 等業者進度有待觀察。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7/24 三大法人全數轉賣，外資單日賣超5,677張（約11.6億元），籌碼面偏弱。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目標價315元相對7/24收盤價隱含逾5成上漲空間，評價假設偏積極。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ujc2shjy7uvnng7mb9mmd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564274（2026/7/26 22:15）｜目標價給出315元！「低軌衛星大廠」明年EPS估看13.1元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jc2shjy7uvnng7mb9mmd" Type="http://schemas.openxmlformats.org/officeDocument/2006/relationships/hyperlink" Target="https://www.ftnn.com.tw/news/564274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2026-07-27T00:17:21.620Z</dcterms:created>
  <dcterms:modified xsi:type="dcterms:W3CDTF">2026-07-27T00:17:21.620Z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