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華通(2313)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華通(2313)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PCB／印刷電路板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320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受惠下半年至明年衛星與光模塊訂單大幅成長，惟7月營收低於預期。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成長動能明確指向下半年至明年的衛星與光模塊訂單大幅成長，屬本次月報中少數非 AI 伺服器主線的標的。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★本系統既有序列可完整比對＝龍頭券商旗下投顧7/22給256元 → 本土法人7/26給315元 → 金控龍頭旗下投顧7/29給324元 → 本次統一投顧8/14給320元，目標價自7月底起已在320元附近盤整三週，上修動能明顯放緩。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原文自載短期利空已有解釋＝7月營收低於預期主因 Apple iPhone 新機遞延拉貨，但預期8月將明顯轉強。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報告背景＝PCB 中下游7月營收雙位數成長，平均月增率14.1%優於預期，主因 AWS Trn3 加速出貨、800G Switch 需求同步強勁、代理 AI 架構使通用 Server 需求超乎預期，及 Google TPUv8 開始放量出貨。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第3季展望＝AI 新平台全面啟動拉貨、800G Switch 量增，Apple 新品及 SpaceX 衛星需求下半年放量，預期本季 PCB 下游營收季增率可達15%~20%；8月營收預期月增3%~6%。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★7月營收低於預期為已實現事實（原文載，與高技同為12檔中僅有的兩家未達標者），「8月將明顯轉強」為預期而非實績。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原文未載目標價前值、未揭露 EPS 與本益比，320元無法回算。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動能高度依賴單一客戶（Apple 新機）與衛星訂單（SpaceX），兩者時程皆非華通可控。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與本系統7/29收錄的324元相比實為小幅回落，方向偏中性偏弱。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★本則見報時間為2026/08/14 05:01，嚴格說落在8/14早盤場次窗口（8/13 19:10~8/14 08:10）內卻未被收錄，屬前一場次覆蓋缺口，已於本場次補齊。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原文自載族群風險＝零組件漲價將影響消費性電子產品；CCL 等原物料下半年仍有續漲壓力，成本轉嫁存在時間差。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本則為新聞轉述券商研究報告、非報告原文，未載報告出具日期。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