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sz w:val="32"/>
          <w:szCs w:val="32"/>
        </w:rPr>
        <w:t xml:space="preserve">華通(2313)｜凱基投顧 推測合理股價 360 元</w:t>
      </w:r>
    </w:p>
    <w:p>
      <w:pPr>
        <w:spacing w:after="140" w:line="276"/>
      </w:pPr>
      <w:r>
        <w:rPr>
          <w:rFonts w:ascii="Microsoft JhengHei" w:eastAsia="Microsoft JhengHei" w:hAnsi="Microsoft JhengHei"/>
          <w:b w:val="false"/>
          <w:bCs w:val="false"/>
          <w:color w:val="555555"/>
          <w:sz w:val="19"/>
          <w:szCs w:val="19"/>
        </w:rPr>
        <w:t xml:space="preserve">2026/08/27　出處：工商時報 08/27 03:00（記者簡威瑟）★補收錄：早盤已知 B 版覆蓋缺口</w:t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評等／目標價摘要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9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券商</w:t>
            </w:r>
          </w:p>
        </w:tc>
        <w:tc>
          <w:tcPr>
            <w:tcW w:type="dxa" w:w="6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凱基投顧｜內資｜★具名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評等</w:t>
            </w:r>
          </w:p>
        </w:tc>
        <w:tc>
          <w:tcPr>
            <w:tcW w:type="dxa" w:w="6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★原文未載評等文字（看好語境）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目標價</w:t>
            </w:r>
          </w:p>
        </w:tc>
        <w:tc>
          <w:tcPr>
            <w:tcW w:type="dxa" w:w="6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推測合理股價 360 元（★原文未載前值）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產業</w:t>
            </w:r>
          </w:p>
        </w:tc>
        <w:tc>
          <w:tcPr>
            <w:tcW w:type="dxa" w:w="6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line="2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電子零組件－PCB（低軌衛星／AI 資料中心）</w:t>
            </w:r>
          </w:p>
        </w:tc>
      </w:tr>
    </w:tbl>
    <w:p>
      <w:pPr>
        <w:spacing w:after="80" w:line="276"/>
      </w:pPr>
      <w:r>
        <w:rPr>
          <w:rFonts w:ascii="Microsoft JhengHei" w:eastAsia="Microsoft JhengHei" w:hAnsi="Microsoft JhengHei"/>
          <w:b w:val="false"/>
          <w:bCs w:val="false"/>
          <w:sz w:val="21"/>
          <w:szCs w:val="21"/>
        </w:rPr>
        <w:t xml:space="preserve"/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衛星＋AI 資料中心雙動能：2027 年兩者合計營收占比將突破 5 成，擺脫消費型 PCB 概念、助長線評價提升。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凱基維持衛星營收估 2026 年 196 億元、2027 年 270 億元；並上調 AI 資料中心營收估至 2026 年 99 億元、2027 年 342 億元。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EPS 估 2026 年 7.72 元（年增 40%）、2027 年 15.02 元（年增 94%）。以 360 元計，隱含 2027 年約 24 倍本益比（★本系統回算）。</w:t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風險與保留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★原文未載評等文字、前值與評價基準；AI 資料中心營收上調幅度大，兌現度待逐季驗證。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eastAsia="Microsoft JhengHei" w:hAnsi="Microsoft JhengHei"/>
          <w:sz w:val="21"/>
          <w:szCs w:val="21"/>
        </w:rPr>
        <w:t xml:space="preserve">★新聞轉述非報告原文；未載報告日期。</w:t>
      </w:r>
    </w:p>
    <w:p>
      <w:pPr>
        <w:pBdr>
          <w:bottom w:val="single" w:color="888888" w:sz="6" w:space="2"/>
        </w:pBdr>
        <w:spacing w:after="100" w:before="200"/>
      </w:pPr>
      <w:r>
        <w:rPr>
          <w:rFonts w:ascii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spacing w:after="40"/>
      </w:pPr>
      <w:hyperlink w:history="1" r:id="rId_n2xo94ow6ynlhp37frrk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https://www.ctee.com.tw/news/20260827700284-430203</w:t>
        </w:r>
      </w:hyperlink>
    </w:p>
    <w:p>
      <w:pPr>
        <w:spacing w:after="60" w:line="276"/>
      </w:pPr>
      <w:r>
        <w:rPr>
          <w:rFonts w:ascii="Microsoft JhengHei" w:eastAsia="Microsoft JhengHei" w:hAnsi="Microsoft JhengHei"/>
          <w:b w:val="false"/>
          <w:bCs w:val="false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Microsoft JhengHei" w:eastAsia="Microsoft JhengHei" w:hAnsi="Microsoft JhengHei"/>
          <w:b w:val="false"/>
          <w:bCs w:val="false"/>
          <w:color w:val="777777"/>
          <w:sz w:val="18"/>
          <w:szCs w:val="18"/>
        </w:rPr>
        <w:t xml:space="preserve">本摘要依公開新聞整理，非完整報告。數字以原始報導為準，標註「★」者為待確認或本系統回算項目。僅供旺來個人研究參考，不構成投資建議。</w:t>
      </w:r>
    </w:p>
    <w:sectPr>
      <w:headerReference w:type="default" r:id="rId99"/>
      <w:pgSz w:w="11906" w:h="16838" w:orient="portrait"/>
      <w:pgMar w:top="1100" w:right="1240" w:bottom="10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n2xo94ow6ynlhp37frrk" Type="http://schemas.openxmlformats.org/officeDocument/2006/relationships/hyperlink" Target="https://www.ctee.com.tw/news/20260827700284-430203" TargetMode="External"/><Relationship Id="rId8" Type="http://schemas.openxmlformats.org/officeDocument/2006/relationships/fontTable" Target="fontTable.xml"/><Relationship Id="rId9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2026-08-27T11:29:52.986Z</dcterms:created>
  <dcterms:modified xsi:type="dcterms:W3CDTF">2026-08-27T11:29:52.986Z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