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 w:cs="Microsoft JhengHei"/>
          <w:b/>
          <w:color w:val="1F3A5F"/>
          <w:sz w:val="30"/>
        </w:rPr>
        <w:t>華通（2313）｜群益金鼎證券（法人） 買進 ★目標價未載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2026/09/04 早盤場次｜2026/09/04 03:00 工商時報 A31 權證版 簡威瑟（副標註明群益金鼎證券）｜產業：電子零組件－PCB（衛星板／光模塊／伺服器）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評等／目標價摘要</w:t>
      </w:r>
    </w:p>
    <w:tbl>
      <w:tblPr>
        <w:tblStyle w:val="TableGrid"/>
        <w:tblW w:type="dxa" w:w="975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134"/>
        <w:gridCol w:w="1474"/>
        <w:gridCol w:w="1927"/>
        <w:gridCol w:w="1927"/>
        <w:gridCol w:w="1814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評等（新／舊）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隱含空間／估值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日期／來源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群益金鼎證券（★副標具名，內文稱「法人」）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內資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買進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★原文未載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★09/03 收盤價待補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2026/09/04｜工商時報 20260904700297</w:t>
            </w:r>
          </w:p>
        </w:tc>
      </w:tr>
    </w:tbl>
    <w:p>
      <w:pPr>
        <w:spacing w:after="40"/>
      </w:pP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既有紀錄對照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既有序列：凱基投顧 08/27 推測合理股價 360；統一投顧 08/14 買進 320；金控龍頭旗下投顧 07/29 324；本土法人 07/26 買進 315；龍頭券商旗下投顧 07/22 買進 256；投顧法人 09/02 調高目標價（數字未載）。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論點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衛星板最大供應商，大客戶新一代衛星規格提升，PCB 板價量齊揚；美系大客戶下一代 V3 衛星下半年啟動，板材規格與用量大幅提升。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Q2 受惠 800G 與 1.6T 光模塊需求及中國高階交換器主板放量，資料中心業務營收季增 46.1%；光模塊與伺服器業務逐年倍增。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Q3 消費性旺季（美系智慧機新機備貨、PC、軟硬板），光模塊業務逐步放量，資料中心營收維持前季高水準。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風險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★未載目標價與前值；原文未載風險。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衛星板高度集中單一美系客戶，V3 時程若遞延影響下半年動能。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本則為新聞轉述非報告原文。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https://www.ctee.com.tw/news/20260904700297-430203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本摘要依公開新聞整理，非完整報告。目標價與評等以新聞轉述為準，「★」為原文未載或待確認項目；隱含空間為本系統以最近收盤價機械回算。</w:t>
      </w:r>
    </w:p>
    <w:sectPr w:rsidR="00FC693F" w:rsidRPr="0006063C" w:rsidSect="00034616">
      <w:head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