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華通(2313)　FactSet 彙整：★原文未載（統計表評等欄空白）、目標價 322.5 元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彙整（★未具名，鉅亨外資評等統計表，評等日 2026-09-09）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PCB－HDI／蘋果供應鏈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★原文未載（統計表評等欄空白）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322.5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★原文未載（統計表舊目標價欄空白）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鉅亨外資評等統計表列新目標價 322.5 元，表列現價 228 元，隱含上檔空間約 41%。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★工商時報 9/10 權證專欄另指華通 1.6T 光模組 Q4 放量（該則已於早盤場次收錄，無評等無目標價）。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★列名 13 檔 iPhone Duo 折疊機供應鏈受惠股之一。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★統計表未載評等與前次目標價，僅有新目標價一項，資訊完整度低。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★原文未載風險章節。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鉅亨網 外資評等統計表（評等日 2026-09-09）　https://www.cnyes.com/twstock/board/ratediff.aspx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