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30"/>
          <w:szCs w:val="30"/>
        </w:rPr>
        <w:t xml:space="preserve">華邦電（2344）－ 收錄更正說明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本檔原為 2026/07/22 媒體報導「小摩調升華邦電目標價至 360 元」之摘要。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更正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經比對 processed.csv，小摩（摩根大通）華邦電 360 元、評等「加碼」之報告已於 2026/07/16 收錄（見同資料夾 260716_小摩_華邦電2344.docx，論點：利基 DRAM 定價＋NOR Flash AI 放量、eSSD 撐 DDR4 緊張 2 年、2026/27 EPS 28.49/60.03 元）。7/22 報導為舊聞重提，非新報告，故本筆不列入 7/23 早盤日報統計，亦未重複寫入 processed.csv。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88888"/>
          <w:sz w:val="17"/>
          <w:szCs w:val="17"/>
        </w:rPr>
        <w:t xml:space="preserve">由排程任務自動產生之更正說明。</w:t>
      </w:r>
    </w:p>
    <w:sectPr>
      <w:headerReference w:type="default" r:id="rId9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2026-07-23T00:21:43.837Z</dcterms:created>
  <dcterms:modified xsi:type="dcterms:W3CDTF">2026-07-23T00:21:43.837Z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