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30"/>
          <w:szCs w:val="30"/>
        </w:rPr>
        <w:t xml:space="preserve">華邦電（2344）券商觀點摘要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 w:val="false"/>
          <w:bCs w:val="false"/>
          <w:color w:val="666666"/>
          <w:sz w:val="18"/>
          <w:szCs w:val="18"/>
        </w:rPr>
        <w:t xml:space="preserve">報告日期：2026/07/22（媒體報導日）　｜　場次：2026/07/23 早盤</w:t>
      </w:r>
    </w:p>
    <w:p>
      <w:pPr>
        <w:pBdr>
          <w:bottom w:val="single" w:color="1A3E6E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24"/>
          <w:szCs w:val="24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券商（內外資）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本土大咖法人（未具名，內資）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評等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強力買進（維持）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目標價（新／舊）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285 元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參考股價與隱含空間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7/22 漲停收 171 元，隱含上漲空間約 67%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價格預估</w:t>
            </w:r>
          </w:p>
        </w:tc>
        <w:tc>
          <w:tcPr>
            <w:tcW w:type="dxa" w:w="6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2026Q3 DRAM ASP 估季增 50%；SLC NAND Q3/Q4 估季增 70%/60%；NOR Flash 每季約 +10%</w:t>
            </w:r>
          </w:p>
        </w:tc>
      </w:tr>
    </w:tbl>
    <w:p>
      <w:pPr>
        <w:pBdr>
          <w:bottom w:val="single" w:color="1A3E6E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24"/>
          <w:szCs w:val="24"/>
        </w:rPr>
        <w:t xml:space="preserve">論點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DDR3 現貨價大漲 114%，遠高於 DDR4 8Gb 的 11%，利基型記憶體供需失衡加劇；三大原廠產能優先配置 HBM，主流與利基型供給同步收縮。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高雄新廠導入 16 奈米製程主攻 DDR4 8Gb，月產能自 2026Q3 初期 3,000 片提升至 2027Q2 的 1.6 萬片，為獲利成長重要動能。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產品組合與獲利能力同步提升，營運有望爆發性成長。</w:t>
      </w:r>
    </w:p>
    <w:p>
      <w:pPr>
        <w:pBdr>
          <w:bottom w:val="single" w:color="1A3E6E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24"/>
          <w:szCs w:val="24"/>
        </w:rPr>
        <w:t xml:space="preserve">風險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新廠產能爬坡與製程轉換若不如預期，出貨動能打折。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DDR3／NOR 漲價若隨供給回補而中斷，ASP 假設偏樂觀。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•  </w:t>
      </w: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記憶體族群波動劇烈，短線漲幅已大。</w:t>
      </w:r>
    </w:p>
    <w:p>
      <w:pPr>
        <w:pBdr>
          <w:bottom w:val="single" w:color="1A3E6E" w:sz="6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A3E6E"/>
          <w:sz w:val="24"/>
          <w:szCs w:val="24"/>
        </w:rPr>
        <w:t xml:space="preserve">來源連結</w:t>
      </w:r>
    </w:p>
    <w:p>
      <w:pPr>
        <w:spacing w:after="60"/>
      </w:pPr>
      <w:hyperlink w:history="1" r:id="rIdnwxyhezbput4f3iri0u8q">
        <w:r>
          <w:rPr>
            <w:rFonts w:ascii="Microsoft JhengHei" w:cs="Microsoft JhengHei" w:eastAsia="Microsoft JhengHei" w:hAnsi="Microsoft JhengHei"/>
            <w:color w:val="1155CC"/>
            <w:sz w:val="18"/>
            <w:szCs w:val="18"/>
            <w:u w:val="single"/>
          </w:rPr>
          <w:t xml:space="preserve">記憶體反彈是死貓跳？大咖法人強力喊買華邦電 285元（FTNN）</w:t>
        </w:r>
      </w:hyperlink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888888"/>
          <w:sz w:val="17"/>
          <w:szCs w:val="17"/>
        </w:rPr>
        <w:t xml:space="preserve">本摘要依公開新聞整理，非完整報告。數字以原始報告為準，未具名券商與「待確認」項目請自行查核。</w:t>
      </w:r>
    </w:p>
    <w:sectPr>
      <w:headerReference w:type="default" r:id="rId9"/>
      <w:pgSz w:w="11906" w:h="16838" w:orient="portrait"/>
      <w:pgMar w:top="11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wxyhezbput4f3iri0u8q" Type="http://schemas.openxmlformats.org/officeDocument/2006/relationships/hyperlink" Target="https://www.ftnn.com.tw/news/563384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2026-07-23T00:19:51.078Z</dcterms:created>
  <dcterms:modified xsi:type="dcterms:W3CDTF">2026-07-23T00:19:51.078Z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