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華邦電（2344）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1"/>
        </w:rPr>
        <w:t>半導體 — 利基型 DRAM／Flash 記憶體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2026/08/03（週一）盤後場次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新／舊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摩根大通（小摩）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360 ／ 未揭露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潛在漲幅 151.7%，為本場次最高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8/3 股價：早盤即亮燈強鎖漲停並鎖至收盤。以目標價與 151.7% 潛在漲幅回推收盤約 143 元（推算值，非原文數字）。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2026 年 EPS 預估 28.5 元，較 2025 年的 9.2 元大增約 3.1 倍。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2027 年 EPS 上看 60 元、年增 1.1 倍，成長動能延續。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受惠與南亞科相同的產業趨勢 — 記憶體供不應求、AI 推理需求帶動結構性擴張。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產業面：記憶體產能滿載時點由 2027 年遞延至 2028 年，供需平衡時點延後代表本輪循環拉長。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對照 6/29 大摩曾給華邦電 288 元、3 月間另有 222 元版本，小摩本次 360 元為目前市場相對積極的估值。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151.7% 的潛在漲幅隱含極高的評價擴張假設，是本場次所有標的中最激進者。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新聞未揭露小摩的舊目標價、調幅、分析師姓名與報告日期，屬典型「外資報告轉述型」即時新聞，資訊完整度有限。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原始報導未列任何下行風險或保留意見。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利基型記憶體報價與消費性終端需求連動較高，若終端因漲價而抑制拉貨，價格動能可能不如 DRAM 主流品。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另有市場意見示警記憶體急拉背後存在終端「買不起」的天花板效應（8/3 udn 9666985）。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資料來源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AI啟動記憶體超級周期 外資暴漲式喊多2檔指標股（經濟日報 2026/08/03 17:04）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https://udn.com/news/story/7252/9668043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9933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