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112B4D"/>
          <w:sz w:val="34"/>
        </w:rPr>
        <w:t>華邦電（2344）　本土老牌投顧觀點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606A78"/>
          <w:sz w:val="19"/>
        </w:rPr>
        <w:t>2026/08/09 早盤場次　｜　產業：半導體－記憶體（NOR Flash／DDR4／SLC NAND／客製化記憶體 CMS）　｜　8/7 收盤 163.5 元</w:t>
      </w:r>
    </w:p>
    <w:p>
      <w:pPr>
        <w:spacing w:after="120" w:before="0" w:line="276" w:lineRule="auto"/>
        <w:pBdr>
          <w:bottom w:val="single" w:sz="10" w:space="1" w:color="112B4D"/>
        </w:pBdr>
      </w:pP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>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1247"/>
        <w:gridCol w:w="1134"/>
        <w:gridCol w:w="1247"/>
        <w:gridCol w:w="3912"/>
      </w:tblGrid>
      <w:tr>
        <w:tc>
          <w:tcPr>
            <w:tcW w:type="dxa" w:w="2041"/>
            <w:shd w:val="clear" w:color="auto" w:fill="112B4D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券商</w:t>
            </w:r>
          </w:p>
        </w:tc>
        <w:tc>
          <w:tcPr>
            <w:tcW w:type="dxa" w:w="1247"/>
            <w:shd w:val="clear" w:color="auto" w:fill="112B4D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評等</w:t>
            </w:r>
          </w:p>
        </w:tc>
        <w:tc>
          <w:tcPr>
            <w:tcW w:type="dxa" w:w="1134"/>
            <w:shd w:val="clear" w:color="auto" w:fill="112B4D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目標價</w:t>
            </w:r>
          </w:p>
        </w:tc>
        <w:tc>
          <w:tcPr>
            <w:tcW w:type="dxa" w:w="1247"/>
            <w:shd w:val="clear" w:color="auto" w:fill="112B4D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前值</w:t>
            </w:r>
          </w:p>
        </w:tc>
        <w:tc>
          <w:tcPr>
            <w:tcW w:type="dxa" w:w="3912"/>
            <w:shd w:val="clear" w:color="auto" w:fill="112B4D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評價基礎／隱含空間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本土老牌投顧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增加持股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204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未揭露</w:t>
            </w:r>
          </w:p>
        </w:tc>
        <w:tc>
          <w:tcPr>
            <w:tcW w:type="dxa" w:w="3912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相對 8/7 收盤 163.5 元約 +24.8%</w:t>
            </w:r>
          </w:p>
        </w:tc>
      </w:tr>
    </w:tbl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>論點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Q2 財報優於預期：營收 598.43 億元、季增 56.4%，EPS 5.40 元，高於該投顧原預估的 4.79 元。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獲利結構改善明確：記憶體事業毛利率由 56.6% 一舉拉升至 70.3%，產能接近滿載。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2026 年資本支出規劃 395 億元，對應產能滿載後的擴產需求。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評等「增加持股」而非最高等級的買進，目標價 204 元相對 8/7 收盤 163.5 元約有 24.8% 空間，屬穩健而非激進的看法。</w:t>
      </w: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>風險與疑點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【內資陣營嚴重分歧—本檔最大看點】本場次 204 元，與 8/8 已收錄之官股龍頭金控旗下投顧 350 元，差距近 1.7 倍。兩者對 Q2 營運數字的描述一致（營收 598.43 億元、EPS 5.4 元），分歧完全出在評價方法：350 元一方主張供需結構性改變加客戶長約，將評價方式由景氣循環股改為本益比法；204 元一方顯然未做此切換。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評價方法之爭無法用數字仲裁，須自行判斷記憶體此輪循環是否真的「結構性」改變。若判定仍屬景氣循環，350 元的評價重估基礎即不成立。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外部參照亦分散：8/7 FactSet 外資共識 236 元、8/4 美系外資優於大盤 360 元，加上本場次 204 元與 8/8 的 350 元，四個數字散布於 204~360 元，區間寬達 76%。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籌碼面警訊：8/7 華邦電遭外資賣超 4 萬 3,331 張，為當日賣超第二大。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券商未具名、未載報告日期；本則亦未揭露 2026／2027 年 EPS 預估與所採本益比倍數，無法與 350 元一方（2027 年 EPS 59.9 元）做同基礎對照。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毛利率由 56.6% 至 70.3% 的跳升幅度極大，係漲價循環高點的表現，若 CMS 與 Flash 合約價漲勢趨緩，此一毛利率不具延續性。</w:t>
      </w: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>來源連結</w:t>
      </w:r>
    </w:p>
    <w:p>
      <w:pPr>
        <w:spacing w:after="40" w:line="264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 xml:space="preserve">• FTNN 2026/08/08 20:45　</w:t>
      </w:r>
      <w:hyperlink r:id="rId9">
        <w:r>
          <w:rPr>
            <w:rFonts w:ascii="Microsoft JhengHei" w:hAnsi="Microsoft JhengHei" w:eastAsia="Microsoft JhengHei"/>
            <w:sz w:val="17"/>
            <w:color w:val="0563C1"/>
            <w:u w:val="single"/>
          </w:rPr>
          <w:t xml:space="preserve">https://www.ftnn.com.tw/news/568278</w:t>
        </w:r>
      </w:hyperlink>
    </w:p>
    <w:p>
      <w:pPr>
        <w:spacing w:after="80" w:before="16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808080"/>
          <w:sz w:val="17"/>
        </w:rPr>
        <w:t>本摘要依公開新聞整理，非完整報告。</w:t>
      </w:r>
    </w:p>
    <w:sectPr w:rsidR="00FC693F" w:rsidRPr="0006063C" w:rsidSect="00034616">
      <w:headerReference w:type="default" r:id="rId9001"/>
      <w:pgSz w:w="12240" w:h="15840"/>
      <w:pgMar w:top="1077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ftnn.com.tw/news/568278" TargetMode="External"/><Relationship Id="rId900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