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Microsoft JhengHei" w:hAnsi="Microsoft JhengHei" w:eastAsia="Microsoft JhengHei" w:cs="Microsoft JhengHei"/>
          <w:b/>
          <w:color w:val="1F3364"/>
          <w:sz w:val="34"/>
        </w:rPr>
        <w:t>華邦電（2344）券商觀點摘要</w:t>
      </w:r>
    </w:p>
    <w:p>
      <w:pPr>
        <w:spacing w:after="200" w:before="0"/>
      </w:pPr>
      <w:r>
        <w:rPr>
          <w:rFonts w:ascii="Microsoft JhengHei" w:hAnsi="Microsoft JhengHei" w:eastAsia="Microsoft JhengHei" w:cs="Microsoft JhengHei"/>
          <w:b w:val="0"/>
          <w:color w:val="555555"/>
          <w:sz w:val="19"/>
        </w:rPr>
        <w:t>FactSet 外資分析師共識彙整（11 位分析師）　｜　2026/08/11（二）盤後場次　｜　產業：半導體－記憶體（利基型 DRAM／SLC NAND／NOR Flash）</w:t>
      </w:r>
    </w:p>
    <w:p>
      <w:pPr>
        <w:spacing w:after="80" w:before="200"/>
      </w:pPr>
      <w:r>
        <w:rPr>
          <w:rFonts w:ascii="Microsoft JhengHei" w:hAnsi="Microsoft JhengHei" w:eastAsia="Microsoft JhengHei" w:cs="Microsoft JhengHei"/>
          <w:b/>
          <w:color w:val="1F3364"/>
          <w:sz w:val="25"/>
        </w:rPr>
        <w:t>一、評等與目標價摘要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370"/>
      </w:tblGrid>
      <w:tr>
        <w:tc>
          <w:tcPr>
            <w:tcW w:type="dxa" w:w="2268"/>
            <w:shd w:val="clear" w:color="auto" w:fill="1F336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項目</w:t>
            </w:r>
          </w:p>
        </w:tc>
        <w:tc>
          <w:tcPr>
            <w:tcW w:type="dxa" w:w="7370"/>
            <w:shd w:val="clear" w:color="auto" w:fill="1F336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內容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來源機構</w:t>
            </w:r>
          </w:p>
        </w:tc>
        <w:tc>
          <w:tcPr>
            <w:tcW w:type="dxa" w:w="7370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FactSet 分析師共識彙整（原文歸類為外資）。重要性質提醒：FactSet 為金融數據彙總商而非單一外資券商，本則為 11 位分析師預估的統計結果，非任何一家券商新出具的研究報告</w:t>
            </w:r>
          </w:p>
        </w:tc>
      </w:tr>
      <w:tr>
        <w:tc>
          <w:tcPr>
            <w:tcW w:type="dxa" w:w="2268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投資評等</w:t>
            </w:r>
          </w:p>
        </w:tc>
        <w:tc>
          <w:tcPr>
            <w:tcW w:type="dxa" w:w="7370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原文未給評等（鉅亨網外資評等表 8/11 該筆之「新評等」「原評等」「升／降」三欄均為空白）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目標價</w:t>
            </w:r>
          </w:p>
        </w:tc>
        <w:tc>
          <w:tcPr>
            <w:tcW w:type="dxa" w:w="7370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236 元／前值空白未標示。查核發現：2026/08/07 已有一筆完全相同的華邦電 236 元（同樣無評等、無舊價），本次 8/11 等同重申同一共識價，目標價本身並無任何變動</w:t>
            </w:r>
          </w:p>
        </w:tc>
      </w:tr>
      <w:tr>
        <w:tc>
          <w:tcPr>
            <w:tcW w:type="dxa" w:w="2268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實質變動處</w:t>
            </w:r>
          </w:p>
        </w:tc>
        <w:tc>
          <w:tcPr>
            <w:tcW w:type="dxa" w:w="7370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2026 全年 EPS 預估中位數由 23.4 元上修至 24.43 元（+4.4%）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EPS 離散度</w:t>
            </w:r>
          </w:p>
        </w:tc>
        <w:tc>
          <w:tcPr>
            <w:tcW w:type="dxa" w:w="7370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最高 29.03 元／最低 16.08 元，最高值為最低值的 1.8 倍，離散度極大，中位數的代表性存疑</w:t>
            </w:r>
          </w:p>
        </w:tc>
      </w:tr>
      <w:tr>
        <w:tc>
          <w:tcPr>
            <w:tcW w:type="dxa" w:w="2268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本益比／毛利率</w:t>
            </w:r>
          </w:p>
        </w:tc>
        <w:tc>
          <w:tcPr>
            <w:tcW w:type="dxa" w:w="7370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原文皆未揭露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本系統序列對照</w:t>
            </w:r>
          </w:p>
        </w:tc>
        <w:tc>
          <w:tcPr>
            <w:tcW w:type="dxa" w:w="7370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204 元（8/9 本土老牌投顧．增加持股）／236 元（8/7 與 8/11 FactSet 共識）／275 元（8/11 早盤 本土法人．強力買進）／288 元（8/10 大摩．正向）／350 元（8/8 官股金控投顧．買進重申）／360 元（8/3 小摩．優於大盤）。全距 204～360 元寬達 76%，FactSet 共識 236 元落在區間偏下緣</w:t>
            </w:r>
          </w:p>
        </w:tc>
      </w:tr>
    </w:tbl>
    <w:p>
      <w:pPr>
        <w:spacing w:after="80" w:before="200"/>
      </w:pPr>
      <w:r>
        <w:rPr>
          <w:rFonts w:ascii="Microsoft JhengHei" w:hAnsi="Microsoft JhengHei" w:eastAsia="Microsoft JhengHei" w:cs="Microsoft JhengHei"/>
          <w:b/>
          <w:color w:val="1F3364"/>
          <w:sz w:val="25"/>
        </w:rPr>
        <w:t>二、投資論點</w:t>
      </w:r>
    </w:p>
    <w:p>
      <w:pPr>
        <w:spacing w:after="40"/>
        <w:ind w:left="283" w:hanging="198"/>
      </w:pPr>
      <w:r>
        <w:rPr>
          <w:rFonts w:ascii="Microsoft JhengHei" w:hAnsi="Microsoft JhengHei" w:eastAsia="Microsoft JhengHei" w:cs="Microsoft JhengHei"/>
          <w:b w:val="0"/>
          <w:sz w:val="21"/>
        </w:rPr>
        <w:t>・價格面（逐字）：「目前第三季記憶體價格將持續向上，尤其在 AI 應用持續推升記憶體需求的情況下，到了 2027 年缺口將仍存在。」</w:t>
      </w:r>
    </w:p>
    <w:p>
      <w:pPr>
        <w:spacing w:after="40"/>
        <w:ind w:left="283" w:hanging="198"/>
      </w:pPr>
      <w:r>
        <w:rPr>
          <w:rFonts w:ascii="Microsoft JhengHei" w:hAnsi="Microsoft JhengHei" w:eastAsia="Microsoft JhengHei" w:cs="Microsoft JhengHei"/>
          <w:b w:val="0"/>
          <w:sz w:val="21"/>
        </w:rPr>
        <w:t>・漲幅預期轉趨務實（逐字）：「雖然 DRAM、FLASH 價格漲幅不至於重現前一波翻倍走勢，但華邦電依舊對於下半年展望樂觀。」此句為本則最值得注意的訊號——分析師共識已在調降漲幅斜率的預期，同時維持方向樂觀。</w:t>
      </w:r>
    </w:p>
    <w:p>
      <w:pPr>
        <w:spacing w:after="40"/>
        <w:ind w:left="283" w:hanging="198"/>
      </w:pPr>
      <w:r>
        <w:rPr>
          <w:rFonts w:ascii="Microsoft JhengHei" w:hAnsi="Microsoft JhengHei" w:eastAsia="Microsoft JhengHei" w:cs="Microsoft JhengHei"/>
          <w:b w:val="0"/>
          <w:sz w:val="21"/>
        </w:rPr>
        <w:t>・共識行為解讀：分析師上修 EPS 中位數 4.4% 卻維持目標價 236 元不變，等同隱含評價倍數小幅下調，原文未說明此調整邏輯。</w:t>
      </w:r>
    </w:p>
    <w:p>
      <w:pPr>
        <w:spacing w:after="80" w:before="200"/>
      </w:pPr>
      <w:r>
        <w:rPr>
          <w:rFonts w:ascii="Microsoft JhengHei" w:hAnsi="Microsoft JhengHei" w:eastAsia="Microsoft JhengHei" w:cs="Microsoft JhengHei"/>
          <w:b/>
          <w:color w:val="1F3364"/>
          <w:sz w:val="25"/>
        </w:rPr>
        <w:t>三、營運與財務數字</w:t>
      </w:r>
    </w:p>
    <w:p>
      <w:pPr>
        <w:spacing w:after="40"/>
        <w:ind w:left="283" w:hanging="198"/>
      </w:pPr>
      <w:r>
        <w:rPr>
          <w:rFonts w:ascii="Microsoft JhengHei" w:hAnsi="Microsoft JhengHei" w:eastAsia="Microsoft JhengHei" w:cs="Microsoft JhengHei"/>
          <w:b w:val="0"/>
          <w:sz w:val="21"/>
        </w:rPr>
        <w:t>・7 月合併營收 267.73 億元，月增 29.98%（內文前段寫「月增 30%」），年增 291.55%，創單月新高。</w:t>
      </w:r>
    </w:p>
    <w:p>
      <w:pPr>
        <w:spacing w:after="40"/>
        <w:ind w:left="283" w:hanging="198"/>
      </w:pPr>
      <w:r>
        <w:rPr>
          <w:rFonts w:ascii="Microsoft JhengHei" w:hAnsi="Microsoft JhengHei" w:eastAsia="Microsoft JhengHei" w:cs="Microsoft JhengHei"/>
          <w:b w:val="0"/>
          <w:sz w:val="21"/>
        </w:rPr>
        <w:t>・累計前 7 月 1,248.7 億元，年增 160.97%，創歷年同期新高。</w:t>
      </w:r>
    </w:p>
    <w:p>
      <w:pPr>
        <w:spacing w:after="40"/>
        <w:ind w:left="283" w:hanging="198"/>
      </w:pPr>
      <w:r>
        <w:rPr>
          <w:rFonts w:ascii="Microsoft JhengHei" w:hAnsi="Microsoft JhengHei" w:eastAsia="Microsoft JhengHei" w:cs="Microsoft JhengHei"/>
          <w:b w:val="0"/>
          <w:sz w:val="21"/>
        </w:rPr>
        <w:t>・2026 全年 EPS 共識中位數 24.43 元（前值 23.4 元）；最高 29.03 元、最低 16.08 元。</w:t>
      </w:r>
    </w:p>
    <w:p>
      <w:pPr>
        <w:spacing w:after="40"/>
        <w:ind w:left="283" w:hanging="198"/>
      </w:pPr>
      <w:r>
        <w:rPr>
          <w:rFonts w:ascii="Microsoft JhengHei" w:hAnsi="Microsoft JhengHei" w:eastAsia="Microsoft JhengHei" w:cs="Microsoft JhengHei"/>
          <w:b w:val="0"/>
          <w:sz w:val="21"/>
        </w:rPr>
        <w:t>・鉅亨網外資評等表該筆「現價」欄顯示 178 元（該頁自身顯示值，與 8/11 實際盤價有落差，照實記錄）。</w:t>
      </w:r>
    </w:p>
    <w:p>
      <w:pPr>
        <w:spacing w:after="40"/>
        <w:ind w:left="283" w:hanging="198"/>
      </w:pPr>
      <w:r>
        <w:rPr>
          <w:rFonts w:ascii="Microsoft JhengHei" w:hAnsi="Microsoft JhengHei" w:eastAsia="Microsoft JhengHei" w:cs="Microsoft JhengHei"/>
          <w:b w:val="0"/>
          <w:sz w:val="21"/>
        </w:rPr>
        <w:t>・股價面：8/11 記憶體族群轉弱，南亞科、華邦電、旺宏同步走低，與 8/10 的漲停行情反向。</w:t>
      </w:r>
    </w:p>
    <w:p>
      <w:pPr>
        <w:spacing w:after="80" w:before="200"/>
      </w:pPr>
      <w:r>
        <w:rPr>
          <w:rFonts w:ascii="Microsoft JhengHei" w:hAnsi="Microsoft JhengHei" w:eastAsia="Microsoft JhengHei" w:cs="Microsoft JhengHei"/>
          <w:b/>
          <w:color w:val="1F3364"/>
          <w:sz w:val="25"/>
        </w:rPr>
        <w:t>四、風險與資訊缺口</w:t>
      </w:r>
    </w:p>
    <w:p>
      <w:pPr>
        <w:spacing w:after="40"/>
        <w:ind w:left="283" w:hanging="198"/>
      </w:pPr>
      <w:r>
        <w:rPr>
          <w:rFonts w:ascii="Microsoft JhengHei" w:hAnsi="Microsoft JhengHei" w:eastAsia="Microsoft JhengHei" w:cs="Microsoft JhengHei"/>
          <w:b w:val="0"/>
          <w:sz w:val="21"/>
        </w:rPr>
        <w:t>・最大性質提醒：本則為 FactSet 分析師共識彙整，非單一券商研究報告，不宜與具名券商的新出具報告等量齊觀；11 位分析師名單原文未具名。</w:t>
      </w:r>
    </w:p>
    <w:p>
      <w:pPr>
        <w:spacing w:after="40"/>
        <w:ind w:left="283" w:hanging="198"/>
      </w:pPr>
      <w:r>
        <w:rPr>
          <w:rFonts w:ascii="Microsoft JhengHei" w:hAnsi="Microsoft JhengHei" w:eastAsia="Microsoft JhengHei" w:cs="Microsoft JhengHei"/>
          <w:b w:val="0"/>
          <w:sz w:val="21"/>
        </w:rPr>
        <w:t>・無評等、無本益比、無毛利率、無目標價前值、無目標價時間框架（是否為 12 個月未說明）。</w:t>
      </w:r>
    </w:p>
    <w:p>
      <w:pPr>
        <w:spacing w:after="40"/>
        <w:ind w:left="283" w:hanging="198"/>
      </w:pPr>
      <w:r>
        <w:rPr>
          <w:rFonts w:ascii="Microsoft JhengHei" w:hAnsi="Microsoft JhengHei" w:eastAsia="Microsoft JhengHei" w:cs="Microsoft JhengHei"/>
          <w:b w:val="0"/>
          <w:sz w:val="21"/>
        </w:rPr>
        <w:t>・236 元對應的是中位數、平均數或某位分析師的個別值，原文完全未說明。</w:t>
      </w:r>
    </w:p>
    <w:p>
      <w:pPr>
        <w:spacing w:after="40"/>
        <w:ind w:left="283" w:hanging="198"/>
      </w:pPr>
      <w:r>
        <w:rPr>
          <w:rFonts w:ascii="Microsoft JhengHei" w:hAnsi="Microsoft JhengHei" w:eastAsia="Microsoft JhengHei" w:cs="Microsoft JhengHei"/>
          <w:b w:val="0"/>
          <w:sz w:val="21"/>
        </w:rPr>
        <w:t>・EPS 最高與最低估值差距達 12.95 元（1.8 倍），在如此離散的分布下，中位數 24.43 元的代表性有限，且原文未提供分布的偏態資訊，無法判斷是少數極端值拉動或整體上移。</w:t>
      </w:r>
    </w:p>
    <w:p>
      <w:pPr>
        <w:spacing w:after="40"/>
        <w:ind w:left="283" w:hanging="198"/>
      </w:pPr>
      <w:r>
        <w:rPr>
          <w:rFonts w:ascii="Microsoft JhengHei" w:hAnsi="Microsoft JhengHei" w:eastAsia="Microsoft JhengHei" w:cs="Microsoft JhengHei"/>
          <w:b w:val="0"/>
          <w:sz w:val="21"/>
        </w:rPr>
        <w:t>・「缺口延續到 2027 年」為公司自述展望，非分析師獨立結論，原文將兩者混寫。</w:t>
      </w:r>
    </w:p>
    <w:p>
      <w:pPr>
        <w:spacing w:after="40"/>
        <w:ind w:left="283" w:hanging="198"/>
      </w:pPr>
      <w:r>
        <w:rPr>
          <w:rFonts w:ascii="Microsoft JhengHei" w:hAnsi="Microsoft JhengHei" w:eastAsia="Microsoft JhengHei" w:cs="Microsoft JhengHei"/>
          <w:b w:val="0"/>
          <w:sz w:val="21"/>
        </w:rPr>
        <w:t>・目標價未動卻上修 EPS，實質為評價倍數下調；此為偏空訊號，但媒體標題以「外資上修獲利預估」呈現，容易讓讀者誤判為調升，引用時務必注意。</w:t>
      </w:r>
    </w:p>
    <w:p>
      <w:pPr>
        <w:spacing w:after="40"/>
        <w:ind w:left="283" w:hanging="198"/>
      </w:pPr>
      <w:r>
        <w:rPr>
          <w:rFonts w:ascii="Microsoft JhengHei" w:hAnsi="Microsoft JhengHei" w:eastAsia="Microsoft JhengHei" w:cs="Microsoft JhengHei"/>
          <w:b w:val="0"/>
          <w:sz w:val="21"/>
        </w:rPr>
        <w:t>・本系統既有序列全距達 76%，且各家未逐一揭露評價基礎，無法判斷分歧來自獲利假設或評價倍數。</w:t>
      </w:r>
    </w:p>
    <w:p>
      <w:pPr>
        <w:spacing w:after="40"/>
        <w:ind w:left="283" w:hanging="198"/>
      </w:pPr>
      <w:r>
        <w:rPr>
          <w:rFonts w:ascii="Microsoft JhengHei" w:hAnsi="Microsoft JhengHei" w:eastAsia="Microsoft JhengHei" w:cs="Microsoft JhengHei"/>
          <w:b w:val="0"/>
          <w:sz w:val="21"/>
        </w:rPr>
        <w:t>・ASP 漲價循環為本波獲利成長主因，反轉時的下檔情境原文完全未討論。</w:t>
      </w:r>
    </w:p>
    <w:p>
      <w:pPr>
        <w:spacing w:after="80" w:before="200"/>
      </w:pPr>
      <w:r>
        <w:rPr>
          <w:rFonts w:ascii="Microsoft JhengHei" w:hAnsi="Microsoft JhengHei" w:eastAsia="Microsoft JhengHei" w:cs="Microsoft JhengHei"/>
          <w:b/>
          <w:color w:val="1F3364"/>
          <w:sz w:val="25"/>
        </w:rPr>
        <w:t>五、來源連結</w:t>
      </w:r>
    </w:p>
    <w:p>
      <w:pPr>
        <w:spacing w:after="40"/>
        <w:ind w:left="283" w:hanging="198"/>
      </w:pPr>
      <w:r>
        <w:rPr>
          <w:rFonts w:ascii="Microsoft JhengHei" w:hAnsi="Microsoft JhengHei" w:eastAsia="Microsoft JhengHei" w:cs="Microsoft JhengHei"/>
          <w:b w:val="0"/>
          <w:sz w:val="18"/>
        </w:rPr>
        <w:t>・FTNN 新聞網（記者何亞軒）2026/08/11 16:00：https://www.ftnn.com.tw/news/568992</w:t>
      </w:r>
    </w:p>
    <w:p>
      <w:pPr>
        <w:spacing w:after="40"/>
        <w:ind w:left="283" w:hanging="198"/>
      </w:pPr>
      <w:r>
        <w:rPr>
          <w:rFonts w:ascii="Microsoft JhengHei" w:hAnsi="Microsoft JhengHei" w:eastAsia="Microsoft JhengHei" w:cs="Microsoft JhengHei"/>
          <w:b w:val="0"/>
          <w:sz w:val="18"/>
        </w:rPr>
        <w:t>・鉅亨網 外資評等表（評等日期 20260811）：https://www.cnyes.com/twstock/board/ratediff.aspx</w:t>
      </w:r>
    </w:p>
    <w:p>
      <w:pPr>
        <w:spacing w:after="60" w:before="200"/>
      </w:pPr>
      <w:r>
        <w:rPr>
          <w:rFonts w:ascii="Microsoft JhengHei" w:hAnsi="Microsoft JhengHei" w:eastAsia="Microsoft JhengHei" w:cs="Microsoft JhengHei"/>
          <w:b w:val="0"/>
          <w:color w:val="777777"/>
          <w:sz w:val="17"/>
        </w:rPr>
        <w:t>本摘要依公開新聞整理，非完整報告。</w:t>
      </w:r>
    </w:p>
    <w:sectPr w:rsidR="00FC693F" w:rsidRPr="0006063C" w:rsidSect="00034616">
      <w:headerReference w:type="default" r:id="rId9"/>
      <w:pgSz w:w="12240" w:h="15840"/>
      <w:pgMar w:top="1020" w:right="1077" w:bottom="102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76" w:lineRule="auto"/>
    </w:pPr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