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32"/>
        </w:rPr>
        <w:t>華邦電（2344）券商觀點摘要　　2026/08/26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本國投顧（★原文未具名；出處為工商時報權證專版，副標永豐金證券，記者陳彩玲）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218 元（上調；★原文未載前值）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基準股價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★未取得（華邦電基準收盤價連續三場次未補得，隱含空間無法回算）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同稿另一本國投顧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無評等無目標價；上修 2027 年營收預估至 5,929.6 億元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既有紀錄對照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摩根大通 360（08/03）、官股投顧 350（08/08）、大摩 288（08/10）、本土大咖 285（07/22）、FactSet 238/236（08/17/08/11）、本土老牌 204（08/09）、中國信託 買進無TP（08/24）。★218 元落在 204–360 區間下緣，高於最低 204 僅 6.9%。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論點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一、Q2 記憶體毛利率升至 70.3%、EPS 約 5.40 元，符合預期；ECB 已完全轉換，股本由 450 億元升至 472 億元。看好 Q3 記憶體價格漲幅約 30~50%，其中 DRAM 漲勢最佳，維持買進、目標價上調至 218 元。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二、（另一本國投顧）AI 基礎建設為記憶體上升週期提供長期動能；大廠退出 2D NAND，華邦電受惠 SLC NAND 缺口紅利，且 5 成產能已簽署長約，提升長期需求能見度；CUBE 及 Si-Cap 有望帶動 2027 年後新一輪長期成長，上修 2027 年營收預估至 5,929.6 億元。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風險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．券商未具名、出自權證專版（附制式免責聲明「權證投資必有風險…不構成邀約、招攬或其他任何建議與推薦」），資訊層級應打折看待。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．未載前值、未載 EPS 預估與評價方法，218 元無法回算；Q3 漲價 30~50% 為預期而非已實現。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．2027 年營收 5,929.6 億元之上修未附毛利率與 EPS 路徑；ECB 轉換使股本增 4.9%，EPS 被動稀釋。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．記憶體漲價對下游 PC／NB 為成本逆風（08/24 既有紀錄：輝達 AI 伺服器明年恐漲逾 15% 係記憶體成本推動），終端需求價格彈性未被處理。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．華邦電既有紀錄為本系統分歧最大個股之一（204–360 元、跨度 76%）；本筆 218 元屬區間下緣的保守聲音。本則為新聞轉述、非報告原文。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來源連結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． 工商時報（權證專版）：https://www.ctee.com.tw/news/20260826700286-430203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