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華邦電（2344）法人觀點摘要</w:t>
      </w:r>
    </w:p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20"/>
        </w:rPr>
        <w:t>半導體－記憶體（DRAM／Flash）　｜　資料日期 2026/09/13　｜　來源：經濟日報 9751671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整理：旺來 wowwow31001　｜　2026/09/13 盤後場次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val="clear" w:fill="DCE6F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7370"/>
            <w:shd w:val="clear" w:fill="DCE6F1"/>
          </w:tcPr>
          <w:p>
            <w:pPr>
              <w:spacing w:after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券商／法人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分析師／法人機構（未具名，經濟日報 09/13 13:56 稿）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類別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未載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投資評等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★原文未載（語調正面）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★原文未載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EPS 預估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 年大幅成長至 24.8 元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 記憶體資本支出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約 395 億元（由先前預估 405 億元小幅下修），年增 618.1%，其中生產設備約占 95%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台中廠 DRAM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目前月產能約 12K；配合高雄 16nm 新產能 2027 年開出，規劃 2027 年降至約 7K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高雄廠 Module A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月產能約 15K，2026 年底前提升至 24K 並開始新增產能投片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16nm 進度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月產能約 2K，良率近 80%，目標 2026 年底前接近 90%；長期理想拉高至 16K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高雄廠 Module B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原二、三期整併同步開發，2027 年動工興建無塵室，最快 2029 年初裝機、2029 年底前量產，並考慮導入 EUV</w:t>
            </w:r>
          </w:p>
        </w:tc>
      </w:tr>
    </w:tbl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二、法人論點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AI 帶動記憶體及先進封裝需求長期成長，華邦電啟動高雄路竹廠擴產規畫，將原定二、三期整併為 Module B 同步開發。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資本支出小幅下修主因產能擴充及設備交貨延遲，部分原訂 2026 年底交貨設備遞延至 2027 年付款；惟整體擴產進度不僅如期，甚至超前。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受惠 16nm 產能開出，預估 2027 年高雄廠位元產出將接近倍增。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AI 發展改變產業追求性價比與記憶體單價的傳統，轉而重視效能、算力及大容量，記憶體市場供需出現結構性改變。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進入第三季，DRAM 與 Flash 價格仍維持上行趨勢，雖漲勢較緩但毛利率仍持續向上，故估 2026 年 EPS 大幅成長至 24.8 元。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華邦電同時列名經濟日報 09/13「15 檔高毛利率成長股」名單（與台積電、聯電並列），為法人卡位標的之一。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三、風險與觀察重點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設備交期拉長是既有事實，若延遲擴大將影響 2027 年位元產出倍增的時程假設。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記憶體報價上行趨勢已較前期趨緩，若 Q4 漲勢進一步收斂，毛利率改善幅度可能不如預期。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台中廠 DRAM 月產能 2027 年由 12K 降至約 7K 為主動調整，過渡期產出銜接需觀察。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導入 EUV 尚在「考慮」階段，資本支出與折舊壓力存在不確定性。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 w:cs="Microsoft JhengHei"/>
          <w:b w:val="0"/>
          <w:sz w:val="19"/>
        </w:rPr>
        <w:t>★ 原文未載評等與目標價，僅有 EPS 預估；機構名稱亦未具名，列為下場次待補項。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四、來源連結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・經濟日報 9751671「華邦電擴產 法人估今年 EPS 大幅成長至24.8元」 https://money.udn.com/money/story/5710/9751671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・經濟日報 9750978「15檔猛將高毛利護體 台積、聯電等有望引領大盤走過震盪」（付費牆，僅取得導言） https://money.udn.com/money/story/5607/9750978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color w:val="800000"/>
          <w:sz w:val="18"/>
        </w:rPr>
        <w:t>※ 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