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4"/>
          <w:szCs w:val="34"/>
        </w:rPr>
        <w:t xml:space="preserve">萬潤科技 (6187.TWO)　外資報告重點摘要</w:t>
      </w:r>
    </w:p>
    <w:p>
      <w:pPr>
        <w:pBdr>
          <w:bottom w:val="single" w:color="2E75B6" w:sz="8" w:space="4"/>
        </w:pBdr>
        <w:spacing w:after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資料來源：Goldman Sachs 證券研究報告（2026 年 7 月 9 日）｜分析師：Evelyn Yu、Ryan Huang, CFA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投資評等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12 個月目標價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現價（7/8 收盤）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潛在漲幅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6"/>
                <w:szCs w:val="26"/>
              </w:rPr>
              <w:t xml:space="preserve">買進（重申）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6"/>
                <w:szCs w:val="26"/>
              </w:rPr>
              <w:t xml:space="preserve">NT$1,550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6"/>
                <w:szCs w:val="26"/>
              </w:rPr>
              <w:t xml:space="preserve">NT$955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6"/>
                <w:szCs w:val="26"/>
              </w:rPr>
              <w:t xml:space="preserve">+62%</w:t>
            </w:r>
          </w:p>
        </w:tc>
      </w:tr>
    </w:tbl>
    <w:p>
      <w:pPr>
        <w:spacing w:after="60" w:before="8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註：目標價由 NT$1,650 調降至 NT$1,550（估值倍數 35 倍不變，係反映 2027 年 EPS 下修）；評等自 2026/3/11 起維持買進。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一、投資結論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>GS 重申「買進」：股價自 4 月高點回檔 31%（同期加權指數 +21%），市場對 CPO 遞延等疑慮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已大致反映在股價上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，風險報酬偏向上檔。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基本面未轉弱：CoWoS 與 CPO 需求穩固，GS 預估 2025-28 年營收／獲利年複合成長率達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47%／56%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，且萬潤 CPO 設備產出效率（throughput）領先同業。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目標價 NT$1,550 = 35 倍目標本益比（不變）× 2027 年預估 EPS NT$44.30。GS 認為 CPO 是比 CoWoS 更強的結構性順風，未來數年具獲利倍數成長潛力。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二、2Q26 營運優於預期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 月營收 NT$10.1 億，帶動 2Q26 營收達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NT$23.6 億，超出 GS 原估 12.8%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，主因客戶 CoWoS 需求加速拉貨。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先進封裝佔比提高帶動產品組合轉佳，2Q26 毛利率上修至 54.0%（原估 52.3%）；4Q26 因新面板級封裝（PLP）設備開始出貨、初期爬坡拉低毛利率，估回落至 52.7%。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季度預估（GSe）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2Q26E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3Q26E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4Q26E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營收（NT$ 百萬）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2,355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3,038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2,472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營收年增率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+54.5%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+77.9%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+178.5%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毛利率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54.0%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54.5%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52.7%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EPS（NT$）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6.25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10.82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7.79</w:t>
            </w:r>
          </w:p>
        </w:tc>
      </w:tr>
    </w:tbl>
    <w:p>
      <w:r>
        <w:br w:type="page"/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三、成長動能：CoWoS 上修、CPO「量減值增」</w:t>
      </w:r>
    </w:p>
    <w:p>
      <w:pPr>
        <w:spacing w:after="80" w:before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CoWoS — 2027 年主要引擎（上修）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GS 於 7/3 台積電報告中，將 2027 年底 CoWoS（含 WMCM）產能上修至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每月 28 萬片（原 25 萬片）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，受惠 AI 加速器與伺服器 CPU 需求強勁；萬潤為 CoWoS 後段關鍵設備供應商，直接受惠。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萬潤 CoWoS 相關營收 2027 年成長率由 +16% 上修至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+27%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，佔總營收比重由 60% 上修至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77%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CPO — 出貨台數變少、單機價值變高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為滿足客戶提高單機產出（throughput）的要求，設備出貨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台數下修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；但單機內含價值與售價看升，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ASP 至少上調約 20%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，反映次世代系統複雜度與效能提升。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CPO 營收預估：2027／2028 年為 NT$21 億／NT$102 億，佔營收 16%／60%（原估 29%／69%）。CPO 仍是萬潤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下一階段最關鍵成長動能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競爭優勢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WoS 點膠（underfill dispenser）與 TIM 散熱片貼合設備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市佔率近 100%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，客戶涵蓋台灣龍頭晶圓代工廠與封測廠；PLP 面板級封裝設備為新增成長機會。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四、盈餘預估調整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GS 預估調整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2026E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2027E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2028E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營收（NT$ 百萬）新／舊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9,277 / 8,865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13,478 / 14,693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17,194 / 19,889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　營收調整幅度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1"/>
                <w:szCs w:val="21"/>
              </w:rPr>
              <w:t xml:space="preserve">+4.6%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743F"/>
                <w:sz w:val="21"/>
                <w:szCs w:val="21"/>
              </w:rPr>
              <w:t xml:space="preserve">-8.3%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743F"/>
                <w:sz w:val="21"/>
                <w:szCs w:val="21"/>
              </w:rPr>
              <w:t xml:space="preserve">-13.6%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EPS（NT$）新／舊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28.23 / 26.33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44.30 / 47.13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59.13 / 66.88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　EPS 調整幅度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1"/>
                <w:szCs w:val="21"/>
              </w:rPr>
              <w:t xml:space="preserve">+7.2%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743F"/>
                <w:sz w:val="21"/>
                <w:szCs w:val="21"/>
              </w:rPr>
              <w:t xml:space="preserve">-6.0%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743F"/>
                <w:sz w:val="21"/>
                <w:szCs w:val="21"/>
              </w:rPr>
              <w:t xml:space="preserve">-11.6%</w:t>
            </w:r>
          </w:p>
        </w:tc>
      </w:tr>
    </w:tbl>
    <w:p>
      <w:pPr>
        <w:spacing w:after="0" w:before="1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調整原因：1) 2Q26 營收與毛利率優於預期（上修今年）；2) 2027-28 年 CoWoS 擴產加速（上修）；3) CPO 設備出貨台數下修（下修 2027-28 年），惟單價與長期需求看法未變。</w:t>
      </w:r>
    </w:p>
    <w:p>
      <w:r>
        <w:br w:type="page"/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五、財務預估總覽（GSe）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900"/>
        <w:gridCol w:w="1900"/>
        <w:gridCol w:w="1900"/>
        <w:gridCol w:w="1900"/>
      </w:tblGrid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年度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2026E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2027E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2028E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營收（NT$ 百萬）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5,366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9,277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13,478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17,194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營收年增率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-3.0%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+72.9%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+45.3%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+27.6%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毛利率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54.3%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53.5%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54.3%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56.7%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營業利益率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34.1%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38.4%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40.8%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EPS（NT$）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15.47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28.23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44.30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59.13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每股股利（NT$）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11.56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21.11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33.12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44.21</w:t>
            </w:r>
          </w:p>
        </w:tc>
      </w:tr>
      <w:tr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ROE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21.5%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35.3%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46.2%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49.1%</w:t>
            </w:r>
          </w:p>
        </w:tc>
      </w:tr>
    </w:tbl>
    <w:p>
      <w:pPr>
        <w:spacing w:after="60" w:before="8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註：股利配發率假設維持 74.8%；2026E 本益比 33.8 倍、2027E 21.6 倍（以 NT$955 計）。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六、估值與股價位置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估值方法：35 倍目標本益比 × 2027E EPS NT$44.30 → 目標價 NT$1,550（倍數不變，由成長性調整後的歷史評價區間推得）。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股價位置：自 4 月高點下跌 31%，同期大盤上漲 21%；GS 認為賣壓主要來自 CPO 遞延疑慮，而非基本面轉弱，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風險報酬已偏向上檔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七、主要風險（GS 提示）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先進封裝（CoWoS）擴產速度不如預期。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新封裝技術（CPO、PLP 等）導入時程延後。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同業競爭加劇，影響市佔率與定價能力。</w:t>
      </w:r>
    </w:p>
    <w:p>
      <w:pPr>
        <w:pBdr>
          <w:top w:val="single" w:color="BFBFBF" w:sz="4" w:space="4"/>
        </w:pBdr>
        <w:spacing w:after="0" w:before="24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本文件為外資報告之重點整理，僅供股東參考，非投資建議；完整內容、預估與免責聲明以 Goldman Sachs 原始報告為準。投資人應自行評估風險。</w:t>
      </w:r>
    </w:p>
    <w:sectPr>
      <w:headerReference w:type="default" r:id="rId9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萬潤科技 (6187) 股東重點摘要｜資料來源：Goldman Sachs Research 2026/7/9｜第 </w:t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 頁，共 3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2026-07-10T15:05:42.476Z</dcterms:created>
  <dcterms:modified xsi:type="dcterms:W3CDTF">2026-07-10T15:05:42.477Z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