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12" w:space="4"/>
        </w:pBd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32"/>
          <w:szCs w:val="32"/>
        </w:rPr>
        <w:t xml:space="preserve">萬潤（6187）　美系外資觀點彙整</w:t>
      </w:r>
    </w:p>
    <w:p>
      <w:pPr>
        <w:spacing w:after="200" w:before="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2026/07/27　｜　半導體－設備（先進封裝／CPO）　｜　自選股　｜　資料來源：公開新聞整理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4"/>
          <w:szCs w:val="24"/>
        </w:rPr>
        <w:t xml:space="preserve">一、評等與目標價摘要</w:t>
      </w:r>
    </w:p>
    <w:tbl>
      <w:tblPr>
        <w:tblW w:type="dxa" w:w="93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3000"/>
        <w:gridCol w:w="1600"/>
        <w:gridCol w:w="1500"/>
        <w:gridCol w:w="1500"/>
        <w:gridCol w:w="170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券商</w:t>
            </w:r>
          </w:p>
        </w:tc>
        <w:tc>
          <w:tcPr>
            <w:tcW w:type="dxa" w:w="16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評等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目標價（新）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目標價（前值）</w:t>
            </w:r>
          </w:p>
        </w:tc>
        <w:tc>
          <w:tcPr>
            <w:tcW w:type="dxa" w:w="17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原始收錄日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美系外資 B（未具名）</w:t>
            </w:r>
          </w:p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對應 07/09 收錄之 Goldman Sachs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買進（維持）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1,550 元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1,650 元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2026/07/09</w:t>
            </w:r>
          </w:p>
        </w:tc>
      </w:tr>
      <w:tr>
        <w:tc>
          <w:tcPr>
            <w:tcW w:type="dxa" w:w="30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美系外資 A（未具名）</w:t>
            </w:r>
          </w:p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對應 07/15 收錄之美銀</w:t>
            </w:r>
          </w:p>
        </w:tc>
        <w:tc>
          <w:tcPr>
            <w:tcW w:type="dxa" w:w="16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買進（初次覆蓋）</w:t>
            </w:r>
          </w:p>
        </w:tc>
        <w:tc>
          <w:tcPr>
            <w:tcW w:type="dxa" w:w="15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1,500 元</w:t>
            </w:r>
          </w:p>
        </w:tc>
        <w:tc>
          <w:tcPr>
            <w:tcW w:type="dxa" w:w="15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2026/07/15</w:t>
            </w:r>
          </w:p>
        </w:tc>
      </w:tr>
    </w:tbl>
    <w:p>
      <w:pPr>
        <w:spacing w:after="40" w:before="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2"/>
          <w:szCs w:val="12"/>
        </w:rPr>
        <w:t xml:space="preserve">　</w:t>
      </w:r>
    </w:p>
    <w:p>
      <w:pPr>
        <w:spacing w:after="80" w:before="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※ 本次為 07/27 媒體對上述兩份既有報告的重述，目標價本身無變動；下列論點為本次新增揭露之細節。券商對應關係屬推定，待確認。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4"/>
          <w:szCs w:val="24"/>
        </w:rPr>
        <w:t xml:space="preserve">二、論點</w:t>
      </w:r>
    </w:p>
    <w:p>
      <w:pPr>
        <w:spacing w:after="60" w:before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1"/>
          <w:szCs w:val="21"/>
        </w:rPr>
        <w:t xml:space="preserve">美系外資 A（初評買進，目標價 1,500 元）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三大利多：先進封裝擴產、台美客戶對次世代先進封裝需求增加、共同光學封裝（CPO）成為成長第二隻腳。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半導體設備業務 2026–2028 年營收年複合成長率（CAGR）有望達 34%。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隨 CoWoS 相關業務營收貢獻加速提升，ROE 自 2024 年起已升至逾 20%，看好明後兩年進一步提升至 30–40%。</w:t>
      </w:r>
    </w:p>
    <w:p>
      <w:pPr>
        <w:spacing w:after="60" w:before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1"/>
          <w:szCs w:val="21"/>
        </w:rPr>
        <w:t xml:space="preserve">美系外資 B（維持買進，目標價由 1,650 降至 1,550 元）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股價自 4 月盤中高點 1,490 元回檔逾 29%，認為此波修正已大致反應市場對 CPO 專案遞延的疑慮。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目前 CoWoS 與 CPO 基本面需求仍穩健，且萬潤的 CPO 設備產出率領先同業。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受惠次世代系統複雜度與性能提升，CPO 設備平均售價（ASP）仍具調升空間，至少可調漲約 20%。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據此調整 2026–2028 年獲利預期：分別調升 7%、調降 6%、調降 12%，目標價自 1,650 元略降至 1,550 元。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4"/>
          <w:szCs w:val="24"/>
        </w:rPr>
        <w:t xml:space="preserve">三、近期營運</w:t>
      </w:r>
    </w:p>
    <w:tbl>
      <w:tblPr>
        <w:tblW w:type="dxa" w:w="93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2600"/>
        <w:gridCol w:w="1700"/>
        <w:gridCol w:w="1500"/>
        <w:gridCol w:w="1400"/>
        <w:gridCol w:w="21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17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金額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月增／季增</w:t>
            </w:r>
          </w:p>
        </w:tc>
        <w:tc>
          <w:tcPr>
            <w:tcW w:type="dxa" w:w="14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年增</w:t>
            </w:r>
          </w:p>
        </w:tc>
        <w:tc>
          <w:tcPr>
            <w:tcW w:type="dxa" w:w="21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備註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 年 6 月合併營收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10.12 億元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+38.9%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+87.06%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連 2 月改寫單月新高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 Q2 合併營收</w:t>
            </w:r>
          </w:p>
        </w:tc>
        <w:tc>
          <w:tcPr>
            <w:tcW w:type="dxa" w:w="17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23.54 億元</w:t>
            </w:r>
          </w:p>
        </w:tc>
        <w:tc>
          <w:tcPr>
            <w:tcW w:type="dxa" w:w="15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+66.82%</w:t>
            </w:r>
          </w:p>
        </w:tc>
        <w:tc>
          <w:tcPr>
            <w:tcW w:type="dxa" w:w="14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+53.45%</w:t>
            </w:r>
          </w:p>
        </w:tc>
        <w:tc>
          <w:tcPr>
            <w:tcW w:type="dxa" w:w="21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改寫單季歷史新高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 H1 合併營收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37.66 億元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+35.97%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續創同期新高</w:t>
            </w:r>
          </w:p>
        </w:tc>
      </w:tr>
    </w:tbl>
    <w:p>
      <w:pPr>
        <w:spacing w:after="40" w:before="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2"/>
          <w:szCs w:val="12"/>
        </w:rPr>
        <w:t xml:space="preserve">　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產業環境：AI 與 HPC 需求爆發帶動先進封裝成為產業核心，2026 年台灣先進封裝產值預估維持雙位數成長。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公司展望：法人看好下半年營收優於上半年，全年維持雙位數成長。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股價與籌碼：4 月中觸及 1,490 元新天價後於 910–1,125 元區間震盪；07/27 跳空開高後放量亮燈漲停 1,035 元、站回千元關。惟三大法人上周合計仍賣超 134 張，籌碼面與外資報告方向暫不一致。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4"/>
          <w:szCs w:val="24"/>
        </w:rPr>
        <w:t xml:space="preserve">四、風險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CPO 專案時程遞延風險：美系外資 B 已將 2027、2028 年獲利預期分別下修 6%、12%，顯示中長期貢獻認列時點仍有不確定性。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CPO 設備 ASP 調漲約 20% 為外資預估值，實際議價結果待確認。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股價自高點回檔近 30% 後波動加劇，法人籌碼近期偏空操作，短線技術面與基本面訊號背離。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營收高度集中於少數先進封裝客戶的資本支出節奏，客戶擴產遞延將直接影響設備出貨。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兩家外資均未具名，與 07/09、07/15 已收錄報告的機構對應關係屬推定，待確認。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4"/>
          <w:szCs w:val="24"/>
        </w:rPr>
        <w:t xml:space="preserve">五、來源連結</w:t>
      </w:r>
    </w:p>
    <w:p>
      <w:pPr>
        <w:spacing w:after="40" w:line="2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《半導體》萬潤亮燈攻頂站回千元關　外資續看讚後市　中時新聞網 07/27 11:49  </w:t>
      </w:r>
      <w:hyperlink w:history="1" r:id="rIdpuxln_8y_x4w5s2i7vgdz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https://www.chinatimes.com/realtimenews/20260727001923-260410</w:t>
        </w:r>
      </w:hyperlink>
    </w:p>
    <w:p>
      <w:pPr>
        <w:spacing w:after="0" w:before="0" w:line="2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2"/>
          <w:szCs w:val="12"/>
        </w:rPr>
        <w:t xml:space="preserve">　</w:t>
      </w:r>
    </w:p>
    <w:p>
      <w:pPr>
        <w:spacing w:after="80" w:before="0" w:line="28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888888"/>
          <w:sz w:val="17"/>
          <w:szCs w:val="17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uxln_8y_x4w5s2i7vgdz" Type="http://schemas.openxmlformats.org/officeDocument/2006/relationships/hyperlink" Target="https://www.chinatimes.com/realtimenews/20260727001923-260410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2026-07-27T11:18:52.752Z</dcterms:created>
  <dcterms:modified xsi:type="dcterms:W3CDTF">2026-07-27T11:18:52.752Z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