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  <w:jc w:val="center"/>
      </w:pPr>
      <w:r>
        <w:rPr>
          <w:rFonts w:ascii="Microsoft JhengHei" w:hAnsi="Microsoft JhengHei" w:eastAsia="Microsoft JhengHei"/>
          <w:b/>
          <w:sz w:val="34"/>
        </w:rPr>
        <w:t>藥華藥(6446) 券商觀點摘要</w:t>
      </w:r>
    </w:p>
    <w:p>
      <w:pPr>
        <w:spacing w:after="200" w:before="0"/>
        <w:jc w:val="center"/>
      </w:pPr>
      <w:r>
        <w:rPr>
          <w:rFonts w:ascii="Microsoft JhengHei" w:hAnsi="Microsoft JhengHei" w:eastAsia="Microsoft JhengHei"/>
          <w:b w:val="0"/>
          <w:color w:val="606060"/>
          <w:sz w:val="19"/>
        </w:rPr>
        <w:t>FactSet共識 ｜ 外資 ｜ 2026 年 08 月 13 日（盤後場次）</w:t>
      </w:r>
    </w:p>
    <w:p>
      <w:pPr>
        <w:spacing w:after="80" w:before="200"/>
      </w:pPr>
      <w:r>
        <w:rPr>
          <w:rFonts w:ascii="Microsoft JhengHei" w:hAnsi="Microsoft JhengHei" w:eastAsia="Microsoft JhengHei"/>
          <w:b/>
          <w:color w:val="143C64"/>
          <w:sz w:val="25"/>
        </w:rPr>
        <w:t>一、評等與目標價摘要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28"/>
            <w:shd w:val="clear" w:color="auto" w:fill="143C64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7370"/>
            <w:shd w:val="clear" w:color="auto" w:fill="143C64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內容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券商／機構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FactSet共識（鉅亨網速報）</w:t>
            </w:r>
          </w:p>
        </w:tc>
      </w:tr>
      <w:tr>
        <w:tc>
          <w:tcPr>
            <w:tcW w:type="dxa" w:w="1928"/>
            <w:shd w:val="clear" w:color="auto" w:fill="F2F5F9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內／外資</w:t>
            </w:r>
          </w:p>
        </w:tc>
        <w:tc>
          <w:tcPr>
            <w:tcW w:type="dxa" w:w="7370"/>
            <w:shd w:val="clear" w:color="auto" w:fill="F2F5F9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外資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產業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生技製藥</w:t>
            </w:r>
          </w:p>
        </w:tc>
      </w:tr>
      <w:tr>
        <w:tc>
          <w:tcPr>
            <w:tcW w:type="dxa" w:w="1928"/>
            <w:shd w:val="clear" w:color="auto" w:fill="F2F5F9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評等</w:t>
            </w:r>
          </w:p>
        </w:tc>
        <w:tc>
          <w:tcPr>
            <w:tcW w:type="dxa" w:w="7370"/>
            <w:shd w:val="clear" w:color="auto" w:fill="F2F5F9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未載評等文字（9位分析師）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目標價（新）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1,419.84 元</w:t>
            </w:r>
          </w:p>
        </w:tc>
      </w:tr>
      <w:tr>
        <w:tc>
          <w:tcPr>
            <w:tcW w:type="dxa" w:w="1928"/>
            <w:shd w:val="clear" w:color="auto" w:fill="F2F5F9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目標價（舊）</w:t>
            </w:r>
          </w:p>
        </w:tc>
        <w:tc>
          <w:tcPr>
            <w:tcW w:type="dxa" w:w="7370"/>
            <w:shd w:val="clear" w:color="auto" w:fill="F2F5F9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未載（EPS前值24.41元）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見報日期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2026/08/13</w:t>
            </w:r>
          </w:p>
        </w:tc>
      </w:tr>
    </w:tbl>
    <w:p>
      <w:pPr>
        <w:spacing w:after="80" w:before="200"/>
      </w:pPr>
      <w:r>
        <w:rPr>
          <w:rFonts w:ascii="Microsoft JhengHei" w:hAnsi="Microsoft JhengHei" w:eastAsia="Microsoft JhengHei"/>
          <w:b/>
          <w:color w:val="143C64"/>
          <w:sz w:val="25"/>
        </w:rPr>
        <w:t>二、論點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/>
          <w:b w:val="0"/>
          <w:sz w:val="20"/>
        </w:rPr>
        <w:t>・FactSet 最新調查（9 位分析師）：藥華藥 2026 年 EPS 中位數由 24.41 元上修至 25.95 元，預估目標價 1,419.84 元。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/>
          <w:b w:val="0"/>
          <w:sz w:val="20"/>
        </w:rPr>
        <w:t>・EPS 序列：2026 年中位數 25.95 元、2027 年 40.77 元、2028 年 43.78 元；平均值序列 24.42／37.66／55.15 元。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/>
          <w:b w:val="0"/>
          <w:sz w:val="20"/>
        </w:rPr>
        <w:t>・營收共識：2026 年中位數 276.77 億元、2027 年 396.02 億元、2028 年 423.37 億元。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/>
          <w:b w:val="0"/>
          <w:sz w:val="20"/>
        </w:rPr>
        <w:t>・獲利轉折已完成：2023 年稅後仍虧損 6.24 億元、2022 年虧損 13.75 億元，2024 年轉盈 29.66 億元、2025 年 50.45 億元，2026 年共識再往上。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/>
          <w:b w:val="0"/>
          <w:sz w:val="20"/>
        </w:rPr>
        <w:t>・★ 為本場次唯一非科技類、亦非 AI 供應鏈的個股，在高度集中於 AI 硬體的場次中具分散意義。</w:t>
      </w:r>
    </w:p>
    <w:p>
      <w:pPr>
        <w:spacing w:after="80" w:before="200"/>
      </w:pPr>
      <w:r>
        <w:rPr>
          <w:rFonts w:ascii="Microsoft JhengHei" w:hAnsi="Microsoft JhengHei" w:eastAsia="Microsoft JhengHei"/>
          <w:b/>
          <w:color w:val="143C64"/>
          <w:sz w:val="25"/>
        </w:rPr>
        <w:t>三、風險與資訊落差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/>
          <w:b w:val="0"/>
          <w:sz w:val="20"/>
        </w:rPr>
        <w:t>・★ 目標價低於現價：共識 1,419.84 元 vs 8/13 收盤 1,445 元，現價已高於共識約 1.8%（本系統回算），上檔空間為負。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/>
          <w:b w:val="0"/>
          <w:sz w:val="20"/>
        </w:rPr>
        <w:t>・★ 分歧極端：2026 年 EPS 最高估值 30.97 元、最低 13.75 元，全距達 2.25 倍；2028 年最高 85.77 元、最低 35.9 元，長期預估幾無共識可言。生技股個別機構模型對藥證、適應症擴充與海外授權的假設差異極大。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/>
          <w:b w:val="0"/>
          <w:sz w:val="20"/>
        </w:rPr>
        <w:t>・FactSet 共識為多家機構彙整值，無論述內文、無本益比與評價基礎，1,419.84 元無法獨立驗證。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/>
          <w:b w:val="0"/>
          <w:sz w:val="20"/>
        </w:rPr>
        <w:t>・僅 9 位分析師覆蓋，樣本偏少。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/>
          <w:b w:val="0"/>
          <w:sz w:val="20"/>
        </w:rPr>
        <w:t>・2027 年 EPS 中位數 40.77 元高於 2028 年的 43.78 元僅小幅成長，但平均值卻由 37.66 元跳至 55.15 元，中位數與平均值走勢背離，顯示極端值影響顯著。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/>
          <w:b w:val="0"/>
          <w:sz w:val="20"/>
        </w:rPr>
        <w:t>・股價波動劇烈：近期曾出現單日漲停 1,450 元與急跌 3.78% 至 1,450 元的紀錄，評價敏感度高。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/>
          <w:b w:val="0"/>
          <w:sz w:val="20"/>
        </w:rPr>
        <w:t>・本檔為本系統首次收錄，既有序列為空。</w:t>
      </w:r>
    </w:p>
    <w:p>
      <w:pPr>
        <w:spacing w:after="80" w:before="200"/>
      </w:pPr>
      <w:r>
        <w:rPr>
          <w:rFonts w:ascii="Microsoft JhengHei" w:hAnsi="Microsoft JhengHei" w:eastAsia="Microsoft JhengHei"/>
          <w:b/>
          <w:color w:val="143C64"/>
          <w:sz w:val="25"/>
        </w:rPr>
        <w:t>四、來源連結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18"/>
        </w:rPr>
        <w:t>https://news.cnyes.com/news/id/6575157</w:t>
      </w:r>
    </w:p>
    <w:p>
      <w:pPr>
        <w:spacing w:after="40" w:before="160"/>
      </w:pPr>
      <w:r>
        <w:rPr>
          <w:rFonts w:ascii="Microsoft JhengHei" w:hAnsi="Microsoft JhengHei" w:eastAsia="Microsoft JhengHei"/>
          <w:b w:val="0"/>
          <w:color w:val="707070"/>
          <w:sz w:val="17"/>
        </w:rPr>
        <w:t>本摘要依公開新聞整理，非完整報告。</w:t>
      </w:r>
    </w:p>
    <w:sectPr w:rsidR="00FC693F" w:rsidRPr="0006063C" w:rsidSect="00034616">
      <w:head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