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裕民（2606）券商觀點摘要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法人（原文未具名，研判內資）｜2026/08/13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法人（原文未具名，研判內資）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散裝航運（乾散貨）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買進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77.8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未載（無法判斷方向）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Q2 EPS 2.34 元（獲利翻逾 2 倍）；本益比未載，原文僅稱「評價具提升空間」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逐字：「考量裕民現貨比重較高，於運價向上的環境中具備更強的獲利彈性，在營收與獲利動能改善下，評價具提升空間，給予其『買進』評等，目標價上看77.8元」。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需求端四項具體支撐（原文明列）：穀物運輸受南美及美國出口旺季支撐；巴西鐵礦進入傳統出口旺季；澳洲出貨維持穩定；幾內亞西芒度鐵礦逐步放量。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延噸海浬的量化論述：「考量幾內亞置中國航程約為澳洲2.75倍，可望放大延噸海浬需求」——為本場次少數提供可驗證倍數關係的論點。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財報：Q2 獲利翻逾 2 倍、EPS 2.34 元，率先於同業開出成績單。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本檔為本系統首次收錄，亦為本場次唯一的非科技類具評等個股。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券商未具名、未載報告出具日期，無法判斷研究品質。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未揭露目標價前值，無法判斷屬調升、維持或下修；未揭露本益比與 EPS 預估，77.8 元評價基礎無法回算。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「現貨比重較高」是雙面刃：運價向上時獲利彈性大，運價下行時同樣放大跌幅，原文僅討論上檔未討論下檔。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多頭論述全數綁定散裝運價與鐵礦／穀物出口旺季，屬高度循環性變數，旺季結束後的延續性未討論。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西芒度鐵礦放量時程與量能未量化，為關鍵但未落定的變數。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本則為權證專區稿件，性質上非獨立券商研究專稿。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工商時報 8/13 03:00｜長榮、裕民營運揚帆 權證強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https://www.ctee.com.tw/news/20260813700283-430203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