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12B4D"/>
          <w:sz w:val="34"/>
        </w:rPr>
        <w:t>譜瑞-KY（4966）　本土法人觀點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06A78"/>
          <w:sz w:val="19"/>
        </w:rPr>
        <w:t>2026/08/09 早盤場次　｜　產業：IC 設計－高速傳輸介面 IC</w:t>
      </w:r>
    </w:p>
    <w:p>
      <w:pPr>
        <w:spacing w:after="120" w:before="0" w:line="276" w:lineRule="auto"/>
        <w:pBdr>
          <w:bottom w:val="single" w:sz="10" w:space="1" w:color="112B4D"/>
        </w:pBdr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587"/>
        <w:gridCol w:w="1134"/>
        <w:gridCol w:w="1134"/>
        <w:gridCol w:w="4025"/>
      </w:tblGrid>
      <w:tr>
        <w:tc>
          <w:tcPr>
            <w:tcW w:type="dxa" w:w="1928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券商</w:t>
            </w:r>
          </w:p>
        </w:tc>
        <w:tc>
          <w:tcPr>
            <w:tcW w:type="dxa" w:w="1587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評等</w:t>
            </w:r>
          </w:p>
        </w:tc>
        <w:tc>
          <w:tcPr>
            <w:tcW w:type="dxa" w:w="1134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目標價</w:t>
            </w:r>
          </w:p>
        </w:tc>
        <w:tc>
          <w:tcPr>
            <w:tcW w:type="dxa" w:w="1134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前值</w:t>
            </w:r>
          </w:p>
        </w:tc>
        <w:tc>
          <w:tcPr>
            <w:tcW w:type="dxa" w:w="4025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評價基礎／隱含空間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本土法人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持有-超越同業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710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600</w:t>
            </w:r>
          </w:p>
        </w:tc>
        <w:tc>
          <w:tcPr>
            <w:tcW w:type="dxa" w:w="402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上調 18.3%；切換至 2027 年獲利基期</w:t>
            </w:r>
          </w:p>
        </w:tc>
      </w:tr>
    </w:tbl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論點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Q2 營收 42.5 億元符合預期，惟封測漲價使毛利率僅 40.2%、落在公司財測下緣，單季 EPS 7.41 元略低於法人原預估。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獲利預估：2026 年 EPS 34.99 元、2027 年 44.22 元。目標價由 600 元上調至 710 元，主要來自評價基期由 2026 年切換至 2027 年，而非本期獲利上修。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ASIC 布局：首顆晶片預計 Q3 底定案（製程 N6／N12），但營收貢獻要到 2027 年下半年才會顯現。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PCIe 6.0 ACC Cable 仍在客戶驗證階段，尚未進入放量期。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風險與疑點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【評等與目標價方向不一致】目標價上調 18.3%，評等卻僅維持「持有-超越同業」——法人自身並未把它列為積極買進標的，目標價上調純屬基期位移的技術性調整，訊號強度有限。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毛利率落在財測下緣，且成因為封測漲價（成本端）而非需求端。在整體封測與載板漲價循環未結束前，成本壓力可能延續，40.2% 未必是低點。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兩大成長題材皆有時間差：ASIC 貢獻遞延至 2027 年下半年、PCIe 6.0 ACC Cable 仍在驗證，亦即 2026 全年到 2027 上半年缺乏新產品支撐，存在明顯驗證空窗期。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短期營運高度依賴 PC／NB 終端需求，此部分為成熟市場，成長性有限且對總體景氣敏感。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券商未具名、未載報告日期；2027 年 EPS 44.22 元的推導過程與所採本益比倍數原文均未揭露，無法交叉檢驗。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來源連結</w:t>
      </w:r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2026/08/08 23:40　</w:t>
      </w:r>
      <w:hyperlink r:id="rId9">
        <w:r>
          <w:rPr>
            <w:rFonts w:ascii="Microsoft JhengHei" w:hAnsi="Microsoft JhengHei" w:eastAsia="Microsoft JhengHei"/>
            <w:sz w:val="17"/>
            <w:color w:val="0563C1"/>
            <w:u w:val="single"/>
          </w:rPr>
          <w:t xml:space="preserve">https://www.ftnn.com.tw/news/568314</w:t>
        </w:r>
      </w:hyperlink>
    </w:p>
    <w:p>
      <w:pPr>
        <w:spacing w:after="80" w:before="1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808080"/>
          <w:sz w:val="17"/>
        </w:rPr>
        <w:t>本摘要依公開新聞整理，非完整報告。</w:t>
      </w:r>
    </w:p>
    <w:sectPr w:rsidR="00FC693F" w:rsidRPr="0006063C" w:rsidSect="00034616"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tnn.com.tw/news/568314" TargetMode="Externa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