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豐泰（9910）券商觀點摘要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7"/>
        </w:rPr>
        <w:t>2026/09/09 早盤場次｜工商時報 09/09 03:00 見報（modified 06:57）｜產業：製鞋代工｜行情基準：2026/09/08 收盤</w:t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74"/>
        <w:gridCol w:w="1927"/>
        <w:gridCol w:w="793"/>
        <w:gridCol w:w="2041"/>
        <w:gridCol w:w="1814"/>
        <w:gridCol w:w="1190"/>
        <w:gridCol w:w="1417"/>
      </w:tblGrid>
      <w:tr>
        <w:tc>
          <w:tcPr>
            <w:tcW w:type="dxa" w:w="147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分析師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外資/內資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目標價（新／前）</w:t>
            </w:r>
          </w:p>
        </w:tc>
        <w:tc>
          <w:tcPr>
            <w:tcW w:type="dxa" w:w="1191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09/08 收盤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上檔空間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瑞銀證券 UBS（具名）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陳玟瑾（台股策略暨非科技產業）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★升評「買進」（明確為升評；★前次評等未載）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推測合理股價 90 元／★前值未載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71.8 元（+2.0／+2.87%）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+25.3%（本系統回算）</w:t>
            </w:r>
          </w:p>
        </w:tc>
      </w:tr>
    </w:tbl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二、論點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・★升評邏輯為「評價落底＋獲利已轉折」：豐泰受制於 Nike 庫存去化與產品重整導致訂單縮減，產能利用率偏低，加上生產基地移轉拖累營益率，股價評價已殺至接近谷底。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・★★評價數據（本場次唯一給出明確倍數與標準差者）：目前僅 2027 年預估本益比 14 倍，較 2015 年以來平均值低 1.6 個標準差。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・獲利已於今年 2 月觸底，之後連續五個月逐步改善；但市場對 Nike 訂單展望信心不足，股價尚未反映此轉折。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・動能來源一：Nike 新款訓練鞋與籃球鞋，豐泰為主要供應商之一。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・動能來源二：Salomon 訂單估雙位數成長。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・動能來源三：東南亞工廠員工熟練度提升，營益率可望續回升。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・★獲利預估：2027 年 EPS 5.04 元、2028 年 EPS 5.65 元（連兩年雙位數百分比增長）。以 90 元回算，隱含 2027 年 PE 約 17.9 倍、2028 年約 15.9 倍（本系統回算，非原文）。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・記者附註：該分析師年中升評自行車雙雄成功帶動法人資金流入。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三、風險與資訊缺口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・★缺口：2026 年 EPS 未載（僅有 2027／2028）；90 元目標價的評價倍數推導未載；前次評等與前次目標價均未載。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・★本則與來億-KY 降評為同一分析師同日發布，結構上是製鞋族群的「配對交易」建議（多豐泰、空來億-KY），並非對製鞋產業整體轉多。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・論點高度綁定單一客戶 Nike：訂單能否回升取決於 Nike 自身庫存去化與產品週期，豐泰無法主導；原文未提供 Nike 庫存水位或訂單能見度的量化數字。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・「較歷史均值低 1.6 個標準差」屬均值回歸論述；若製鞋代工產業結構性利潤率下移，歷史均值本身即不再適用。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・生產基地移轉的營益率拖累何時結束，原文未給時程；「員工熟練度提升」為定性描述，無量化改善幅度。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・個股流動性偏低：09/08 成交 3,705 張／2.67 億元，法人進出對股價影響大。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四、來源連結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・工商時報 20260909700101-430201 — https://www.ctee.com.tw/news/20260909700101-430201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・行情：CMoney https://www.cmoney.tw/forum/stock/9910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6"/>
        </w:rPr>
        <w:t>本摘要依公開新聞整理，非完整報告。標示★者為原文未載或本系統回算之項目。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