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貿聯-KY(3665) 券商觀點摘要（補收錄）— 2026/08/25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2"/>
          <w:szCs w:val="22"/>
        </w:rPr>
        <w:t xml:space="preserve">收錄性質：★補收錄。原稿為工商時報 2026/08/24 16:41 即時稿（時報記者張漢綺），落在 08/24 盤後場次窗口內，該場次因 ctee 列表快取落後未覆蓋，本場次由 ctee 關鍵字搜尋頁補回。★本稿一次補齊四家外資的完整目標價序列，其中兩家為本系統新增（美系「買入」3,088、日系 3,065），並補齊 08/25 早盤已收錄兩家的前值。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四家外資目標價序列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50"/>
        <w:gridCol w:w="2150"/>
        <w:gridCol w:w="335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2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目標價（新／舊）</w:t>
            </w:r>
          </w:p>
        </w:tc>
        <w:tc>
          <w:tcPr>
            <w:tcW w:type="dxa" w:w="33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備註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摩根士丹利（美系）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建議加碼（★評等文字本稿補齊）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3,665（★原文未載前值）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08/25 早盤已收錄；HPC 雙引擎（電源互連＋資料互連）、Q3 營收估季增 23%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瑞銀（歐系）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3,430 → 3,617（+5.45% 本系統回算，★前值本稿補齊）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08/25 早盤已收錄；2026–2028 年獲利上調 5～7%，Q3 獲利估季增 28%，電源 sidecar 或提前導入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美系外資（★另一家 未具名）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買入（重申）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3,230 → 3,088（★下修 4.40% 本系統回算）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★本系統新增＋★近期首見下修：看好半導體設備與 AI 業務、2026–2028 年 EPS 微幅調高 2～4%，但目標價下修，隱含評價倍數收縮，立場相對保守</w:t>
            </w:r>
          </w:p>
        </w:tc>
      </w:tr>
      <w:tr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日系外資（★未具名）</w:t>
            </w:r>
          </w:p>
        </w:tc>
        <w:tc>
          <w:tcPr>
            <w:tcW w:type="dxa" w:w="17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買進（維持）</w:t>
            </w:r>
          </w:p>
        </w:tc>
        <w:tc>
          <w:tcPr>
            <w:tcW w:type="dxa" w:w="21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3,053 → 3,065（+0.39% 本系統回算）</w:t>
            </w:r>
          </w:p>
        </w:tc>
        <w:tc>
          <w:tcPr>
            <w:tcW w:type="dxa" w:w="3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70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★本系統新增：2026–2028 年 EPS 上調 1～5%，目標價微調</w:t>
            </w:r>
          </w:p>
        </w:tc>
      </w:tr>
    </w:tbl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論點（本稿共同基本面）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2026 上半年合併營收 441.45 億元（年增 22%）、歸母淨利 52.56 億元、EPS 26.94 元（年增 42%），同創歷年同期新高；Q2 稅後淨利 29.82 億元（季增 31%）、單季 EPS 15.28 元創單季新高，毛利率與營益率同步回升。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成長動能＝資料中心與半導體設備拉貨：數據線纜出貨恢復常態、新 ASIC 平台線纜開始出貨、產能利用率提升推升毛利率。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AI／通用伺服器需求帶動電源互連業務，ASIC 機型量產爬坡與 GPU 伺服器需求帶動資料互連業務。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風險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★四家目標價高低差 19.6%（3,665 vs 3,065，本系統回算），且「最看多的大摩未載前值、最保守的美系逆勢下修」——多空並不像 08/25 早盤稿呈現的那麼一致，本稿是重要的平衡資訊。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★美系下修那筆「EPS 上修＋目標價下修」的組合，意味其主動壓低評價倍數，是四家中唯一的估值警訊。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★08/24 貿聯公告資訊系統遭網路安全事件、股價跌停 2,050 元；四家報告顯然均出具於事件前，影響範圍與財務衝擊釐清前，所有目標價的基本面前提都待驗證。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★以 2,050 元計四家隱含空間 +49.5%～+78.8%，跨度極大；FactSet 共識 3,125 元（20260821）亦未反映資安事件。</w:t>
      </w:r>
    </w:p>
    <w:p>
      <w:pPr>
        <w:spacing w:after="80" w:line="290"/>
        <w:ind w:left="280"/>
      </w:pPr>
      <w:r>
        <w:rPr>
          <w:rFonts w:ascii="Microsoft JhengHei" w:eastAsia="Microsoft JhengHei" w:hAnsi="Microsoft JhengHei"/>
          <w:sz w:val="22"/>
          <w:szCs w:val="22"/>
        </w:rPr>
        <w:t xml:space="preserve">‧ ★兩家新增券商均未具名、未載分析師與報告日期，且 8～9 月營收可能受歐洲暑休影響（既有紀錄）。★貿聯 08/25 收盤價本場次未取得，列為下場次補件。</w:t>
      </w:r>
    </w:p>
    <w:p>
      <w:pPr>
        <w:pBdr>
          <w:bottom w:val="single" w:color="2E5496" w:sz="6" w:space="2"/>
        </w:pBdr>
        <w:spacing w:after="120" w:before="220"/>
      </w:pPr>
      <w:r>
        <w:rPr>
          <w:rFonts w:ascii="Microsoft JhengHei" w:eastAsia="Microsoft JhengHei" w:hAnsi="Microsoft JhengHei"/>
          <w:b/>
          <w:bCs/>
          <w:color w:val="2E5496"/>
          <w:sz w:val="26"/>
          <w:szCs w:val="26"/>
        </w:rPr>
        <w:t xml:space="preserve">來源連結</w:t>
      </w:r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《其他電》貿聯-KY前景俏！外資上修獲利預估 目標價喊至3617元（工商時報 2026/08/24）：</w:t>
      </w:r>
      <w:hyperlink w:history="1" r:id="rIdhkybko7c_xpu1vjaytv_v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https://www.ctee.com.tw/news/20260824700712-430201</w:t>
        </w:r>
      </w:hyperlink>
    </w:p>
    <w:p>
      <w:pPr>
        <w:spacing w:after="60"/>
        <w:ind w:left="280"/>
      </w:pPr>
      <w:r>
        <w:rPr>
          <w:rFonts w:ascii="Microsoft JhengHei" w:eastAsia="Microsoft JhengHei" w:hAnsi="Microsoft JhengHei"/>
          <w:sz w:val="20"/>
          <w:szCs w:val="20"/>
        </w:rPr>
        <w:t xml:space="preserve">‧ 外資力挺貿聯 目標價3字頭沒問題（工商時報 2026/08/25，早盤已收錄）：</w:t>
      </w:r>
      <w:hyperlink w:history="1" r:id="rIderho5wjdgqybshrcdiphp">
        <w:r>
          <w:rPr>
            <w:rFonts w:ascii="Microsoft JhengHei" w:eastAsia="Microsoft JhengHei" w:hAnsi="Microsoft JhengHei"/>
            <w:color w:val="0563C1"/>
            <w:sz w:val="18"/>
            <w:szCs w:val="18"/>
            <w:u w:val="single"/>
          </w:rPr>
          <w:t xml:space="preserve">https://www.ctee.com.tw/news/20260825700215-430201</w:t>
        </w:r>
      </w:hyperlink>
    </w:p>
    <w:p>
      <w:pPr>
        <w:pBdr>
          <w:top w:val="single" w:color="999999" w:sz="4" w:space="4"/>
        </w:pBdr>
        <w:spacing w:before="240"/>
      </w:pPr>
      <w:r>
        <w:rPr>
          <w:rFonts w:ascii="Microsoft JhengHei" w:eastAsia="Microsoft JhengHei" w:hAnsi="Microsoft JhengHei"/>
          <w:color w:val="666666"/>
          <w:sz w:val="18"/>
          <w:szCs w:val="18"/>
        </w:rPr>
        <w:t xml:space="preserve">本摘要依公開新聞整理，非完整報告。目標價與預估值均為券商觀點之新聞轉述，非本文件之投資建議；標註「本系統回算」者為依公開數字之機械式計算。</w:t>
      </w:r>
    </w:p>
    <w:sectPr>
      <w:headerReference w:type="default" r:id="rId10"/>
      <w:pgSz w:w="11906" w:h="16838" w:orient="portrait"/>
      <w:pgMar w:top="12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hkybko7c_xpu1vjaytv_v" Type="http://schemas.openxmlformats.org/officeDocument/2006/relationships/hyperlink" Target="https://www.ctee.com.tw/news/20260824700712-430201" TargetMode="External"/><Relationship Id="rIderho5wjdgqybshrcdiphp" Type="http://schemas.openxmlformats.org/officeDocument/2006/relationships/hyperlink" Target="https://www.ctee.com.tw/news/20260825700215-430201" TargetMode="External"/><Relationship Id="rId9" Type="http://schemas.openxmlformats.org/officeDocument/2006/relationships/fontTable" Target="fontTable.xml"/><Relationship Id="rId10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2026-08-25T11:21:39.425Z</dcterms:created>
  <dcterms:modified xsi:type="dcterms:W3CDTF">2026-08-25T11:21:39.425Z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