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after="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達發（6526）券商觀點摘要</w:t>
      </w:r>
    </w:p>
    <w:p>
      <w:pPr>
        <w:spacing w:after="40"/>
        <w:jc w:val="center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0"/>
          <w:szCs w:val="20"/>
        </w:rPr>
        <w:t xml:space="preserve">2026 / 08 / 06　早盤場次　｜　資料來源：CMoney 券商評等彙整</w:t>
      </w:r>
    </w:p>
    <w:p>
      <w:pPr>
        <w:spacing w:after="14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404040"/>
          <w:sz w:val="20"/>
          <w:szCs w:val="20"/>
        </w:rPr>
        <w:t xml:space="preserve">產業分類：IC 設計</w:t>
      </w:r>
    </w:p>
    <w:p>
      <w:pPr>
        <w:pBdr>
          <w:bottom w:val="single" w:color="1F3864" w:sz="6"/>
        </w:pBdr>
        <w:spacing w:after="100" w:before="22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一、評等與目標價摘要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1200"/>
        <w:gridCol w:w="1200"/>
        <w:gridCol w:w="4100"/>
      </w:tblGrid>
      <w:tr>
        <w:trPr>
          <w:tblHeader/>
        </w:trPr>
        <w:tc>
          <w:tcPr>
            <w:tcW w:type="dxa" w:w="19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券商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評等</w:t>
            </w:r>
          </w:p>
        </w:tc>
        <w:tc>
          <w:tcPr>
            <w:tcW w:type="dxa" w:w="12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目標價(新)</w:t>
            </w:r>
          </w:p>
        </w:tc>
        <w:tc>
          <w:tcPr>
            <w:tcW w:type="dxa" w:w="12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目標價(舊)</w:t>
            </w:r>
          </w:p>
        </w:tc>
        <w:tc>
          <w:tcPr>
            <w:tcW w:type="dxa" w:w="41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評價基準／備註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5 家券商</w:t>
              <w:br/>
              <w:t xml:space="preserve">（未具名，屬性待確認）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皆看多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630 ～ 750 元</w:t>
              <w:br/>
              <w:t xml:space="preserve">（區間）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未揭露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2026 年營收估 236.47 億～257.32 億元、EPS 18.96～24.44 元</w:t>
            </w:r>
          </w:p>
        </w:tc>
      </w:tr>
    </w:tbl>
    <w:p>
      <w:pPr>
        <w:spacing w:after="60"/>
        <w:jc w:val="left"/>
      </w:pPr>
    </w:p>
    <w:p>
      <w:pPr>
        <w:spacing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7F7F7F"/>
          <w:sz w:val="18"/>
          <w:szCs w:val="18"/>
        </w:rPr>
        <w:t xml:space="preserve">註：達發為本追蹤系統首次收錄。5 家券商名稱、各自目標價與內外資屬性均未揭露，待確認。以區間中值 690 元對應 EPS 中值約 21.7 元，隱含本益比約 32 倍。</w:t>
      </w:r>
    </w:p>
    <w:p>
      <w:pPr>
        <w:pBdr>
          <w:bottom w:val="single" w:color="1F3864" w:sz="6"/>
        </w:pBdr>
        <w:spacing w:after="100" w:before="22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二、投資論點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・5 家券商評等方向一致，皆看多，分歧僅在幅度（630～750 元，區間寬度約 19%）。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・2026 年度營收預估落在 236.47 億～257.32 億元之間，五家差距約 8.8%，對營收看法相當接近。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・2026 年度 EPS 預估落在 18.96～24.44 元之間，差距約 29%，對獲利率的看法分歧明顯大於營收。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・營收共識高、獲利分歧大，通常代表市場對毛利率或費用率假設不同，正式報告出爐後值得比對。</w:t>
      </w:r>
    </w:p>
    <w:p>
      <w:pPr>
        <w:pBdr>
          <w:bottom w:val="single" w:color="1F3864" w:sz="6"/>
        </w:pBdr>
        <w:spacing w:after="100" w:before="22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三、風險與觀察重點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・5 家券商名稱與各自目標價均未揭露，無法判斷是否含外資、亦無法辨識何者為多數意見。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・EPS 預估區間 18.96～24.44 元差距達 29%，獲利能見度偏低。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・首次收錄，無歷史目標價可對照，亦無論點細節可供檢驗。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・本則來自券商評等彙整平台而非原始報告或主流財經媒體報導，資訊完整度偏低。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・未揭露評等變動方向與報告日期，無法判斷是新報告或既有觀點彙整。</w:t>
      </w:r>
    </w:p>
    <w:p>
      <w:pPr>
        <w:pBdr>
          <w:bottom w:val="single" w:color="1F3864" w:sz="6"/>
        </w:pBdr>
        <w:spacing w:after="100" w:before="22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四、來源連結</w:t>
      </w:r>
    </w:p>
    <w:p>
      <w:pPr>
        <w:spacing w:after="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8"/>
          <w:szCs w:val="18"/>
        </w:rPr>
        <w:t xml:space="preserve">・CMoney 8/5 18:50｜券商評等報告彙整</w:t>
      </w:r>
    </w:p>
    <w:p>
      <w:pPr>
        <w:spacing w:after="80"/>
        <w:ind w:left="4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563C1"/>
          <w:sz w:val="16"/>
          <w:szCs w:val="16"/>
          <w:u w:val="single"/>
        </w:rPr>
        <w:t xml:space="preserve">https://cmnews.com.tw/tag/%E5%88%B8%E5%95%86%E8%A9%95%E7%AD%89%E5%A0%B1%E5%91%8A%E5%BD%99%E6%95%B4</w:t>
      </w:r>
    </w:p>
    <w:p>
      <w:pPr>
        <w:spacing w:after="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8"/>
          <w:szCs w:val="18"/>
        </w:rPr>
        <w:t xml:space="preserve">・CMoney 8/5 18:50｜達發 券商評等報告彙整</w:t>
      </w:r>
    </w:p>
    <w:p>
      <w:pPr>
        <w:spacing w:after="80"/>
        <w:ind w:left="4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563C1"/>
          <w:sz w:val="16"/>
          <w:szCs w:val="16"/>
          <w:u w:val="single"/>
        </w:rPr>
        <w:t xml:space="preserve">https://cmnews.com.tw/article/cmoneyaicurator-6c97ba03-90bb-11f1-a00c-dbb6e244e429</w:t>
      </w:r>
    </w:p>
    <w:p>
      <w:pPr>
        <w:spacing w:after="80" w:before="2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808080"/>
          <w:sz w:val="17"/>
          <w:szCs w:val="17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2026-08-05T00:25:17.462Z</dcterms:created>
  <dcterms:modified xsi:type="dcterms:W3CDTF">2026-08-05T00:25:17.463Z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