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金像電（2368）券商觀點摘要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摩根士丹利（大摩）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摩根士丹利（大摩）（外資）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金像電（2368）　PCB－伺服器板／HDI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優於大盤（維持）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1,660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1,660（維持不變）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維持，非新調整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7 月營收首度突破百億元創新高，並達成市場對 Q3 營收預期的 35％，優於預期。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隨新專案（T3）放量，研判金像電營收將逐季走高，意味市場預期有調升空間。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維持「優於大盤」投資評等與 1,660 元推測合理股價；8/11 收 964 元，國際資金買超 1,450 張。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・本則為評等與目標價「雙維持」，非新的評等動作，訊號強度有限。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・未揭露 EPS 預估與本益比，1,660 元推導無法驗證；未載報告出具日期。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・同篇導言稱「外資賦予目標價上看 1,740 元」，與內文大摩 1,660 元不一致，1,740 元的出具機構未載於內文（研判出自附表），引用時須註明來源機構有爭議。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・同批財報稿顯示金像電 Q2 毛利率季減 0.16 個百分點；湖北四廠下半年才貢獻營收、越南廠 Q3 才小量試產，產能開出時程仍有變數。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・見報時點為 2026/08/11 18:01，落在前一場次窗口（08:15～19:00）內但未被收錄，本場次補收。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2026/08/11 18:01 https://www.ctee.com.tw/news/20260811701723-430201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https://www.ctee.com.tw/news/20260812700237-430201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https://www.ctee.com.tw/news/20260812700256-430502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