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金居（8358）券商觀點摘要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高盛（Goldman Sachs）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高盛（Goldman Sachs）（外資）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金居（8358）　電子材料－銅箔（HVLP3+／RG）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940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未載（本系統既有高盛序列 900 元，出具日期未確認）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逆勢調升，潛在漲幅逾 1.4 倍（對照 8/11 收 380.5 元漲停）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Q3 營收估季增 15％，三大驅動：所有銅箔產品價格季增 10％～15％、一般伺服器需求帶動 RG 銅箔出貨成長、HVLP3+ 良率自 Q2 逾 50％持續改善。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財務模型顯示金居已開啟單季獲利上升循環，自 Q3 起「獲利季季高」將延續十個季度（至 2028Q4）；估 2026～2028 年 EPS 各 9.98／26.51／42.58 元，2029 年每股可能賺逾 60 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將 HVLP3+ 產業 2026～2028 年供給缺口由原估 25％～40％ 調高到 45％～55％；預估 Q3、Q4 產品價格分別季增 10％～15％ 與 5％～10％，高於先前預估的每季 3％～5％。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4. 高階銅箔營收占比由 Q1 約 15％ 提升至 Q2 的 15％～20％，產品組合改善；7 月營收 10.09 億元創單月新高，8 月可望再改寫紀錄。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・原文自載：Q2 受夏季電費較高影響，營業利益不如預期（毛利率季減 1.3 個百分點）。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・未揭露目標價前值與本益比，940 元推導無法完整驗證；未載報告出具日期。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・多頭論述高度依賴「漲價循環才剛開始」單一假設，供給缺口由 25～40％ 上調至 45～55％ 為本次評價上修主因，若缺口收斂則整條推論鏈同步失準。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・2029 年 EPS 逾 60 元屬長天期外推，對照 2026 年 9.98 元為 6 倍以上成長，敏感度分析未提供。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・8/11 已亮燈漲停 380.5 元，目標價於漲停當日盤後見報，須注意消息面與價格先後順序。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2026/08/11 22:29 https://www.ctee.com.tw/news/20260811702033-430201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https://www.ctee.com.tw/news/20260812700237-430201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https://www.ctee.com.tw/news/20260812700263-430204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・旺得富 2026/08/12 06:00 https://wantrich.chinatimes.com/news/20260812900003-420101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