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金居（8358）券商觀點摘要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0"/>
        </w:rPr>
        <w:t>統一投顧（分析師廖婉婷，具名）｜2026/08/13 早盤場次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71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日期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2026/08/13（覆蓋窗口 2026/08/12 19:00 ～ 2026/08/13 08:30）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統一投顧（分析師廖婉婷，具名）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內／外資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內資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產業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銅箔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投資評等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買進（維持）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630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目標價（前值）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645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變動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下修 2.33%（本場次唯一下修個案）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評價依據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7 月營收月增 4.82%（八檔中最低）；EPS 與本益比未載</w:t>
            </w:r>
          </w:p>
        </w:tc>
      </w:tr>
    </w:tbl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★ 本場次唯一的目標價下修個案，且評等維持「買進」不變，屬評等與目標價方向背離。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下修主因原文明載：「至於金居因Rubin延遲出貨略有影響，第2季財報低於預期」。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7 月營收月增 4.82%，在統一投顧覆蓋的 PCB 上中游八檔中最低（該群平均月增 11.2%）。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★ 重大立場分歧：本系統既有紀錄載高盛證券 2026/08/11 將金居合理股價調高至 940 元（潛在漲幅逾 1.4 倍），另 8/12 高盛再度喊出 9 字頭。外資 940 元 vs 內資 630 元，落差達 49.2%（本系統回算），為本檔最重要的觀察點。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三、風險與資訊缺口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原文自載風險：Rubin 延遲出貨、第 2 季財報低於預期，兩者皆屬已實現的負面事實而非預期。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維持買進卻同時下修目標價，評等未同步調整的理由原文未說明。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未揭露 EPS 與本益比，630 元推導無法驗證；下修幅度雖可計算（645→630），但評價基礎變動原因未拆解。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與高盛 940 元的巨大落差顯示市場對銅箔漲價受惠程度的假設高度分歧，任一方模型都有大幅修正風險。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代號提醒：金居為 8358，部分二手轉述曾誤植為 8368（8368 實為其他公司），引用時請核對。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旺得富 8/13 05:01｜統一投顧 PCB 月報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https://wantrich.chinatimes.com/news/20260813900003-420101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工商時報 8/11｜高盛上調金居目標價至 940 元（窗口外，對照用）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https://www.ctee.com.tw/news/20260811702033-430201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888888"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