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鈊象（3293） 券商觀點摘要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2026/07/20｜法人（未具名，內資）｜產業：遊戲－線上博弈／遊戲授權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法人（未具名，內資）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最新目標價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報告／報導日期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2026/07/20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第 2 季營收符合市場預期，受惠東南亞市場授權收入擴大及 TaDa Gaming 歐美布局發酵，稅前淨利 39.5 億元，季增 2.4%、年增 36.3%，優於市場預期；法人預估單季 EPS 約 11-12 元。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隨暑假旺季及世足賽投注熱潮外溢至其他線上博弈項目，授權收入有望進一步擴張。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法人預估第 3 季網路遊戲授權營收年增 35% 至 49.6 億元，帶動整體營收年增 21.2% 至 65.3 億元。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4. </w:t>
      </w:r>
      <w:r>
        <w:rPr>
          <w:rFonts w:ascii="Microsoft JhengHei" w:eastAsia="Microsoft JhengHei" w:hAnsi="Microsoft JhengHei"/>
          <w:sz w:val="22"/>
          <w:szCs w:val="22"/>
        </w:rPr>
        <w:t xml:space="preserve">台股 20 日重挫之際股價逆勢收漲 2.9%，為績優高價股資金避風港之一。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報導未具名法人且未揭露目標價，資訊完整度有限。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海外線上博弈相關法規與平台政策風險。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世足賽等一次性熱潮退去後的動能持續性。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1cx1ii1i8-0nwklbuk3-m">
        <w:r>
          <w:rPr>
            <w:rFonts w:ascii="Microsoft JhengHei" w:eastAsia="Microsoft JhengHei" w:hAnsi="Microsoft JhengHei"/>
            <w:sz w:val="18"/>
            <w:szCs w:val="18"/>
          </w:rPr>
          <w:t xml:space="preserve">經濟日報（udn）2026/07/20 17:21：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https://udn.com/news/story/7251/9639537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cx1ii1i8-0nwklbuk3-m" Type="http://schemas.openxmlformats.org/officeDocument/2006/relationships/hyperlink" Target="https://udn.com/news/story/7251/963953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2026-07-20T11:20:44.202Z</dcterms:created>
  <dcterms:modified xsi:type="dcterms:W3CDTF">2026-07-20T11:20:44.203Z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