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 w:cs="Microsoft JhengHei"/>
          <w:b/>
          <w:sz w:val="32"/>
        </w:rPr>
        <w:t>長榮航（2618）券商觀點摘要</w:t>
      </w:r>
    </w:p>
    <w:p>
      <w:pPr>
        <w:spacing w:after="160" w:before="0"/>
        <w:jc w:val="center"/>
      </w:pPr>
      <w:r>
        <w:rPr>
          <w:rFonts w:ascii="Microsoft JhengHei" w:hAnsi="Microsoft JhengHei" w:eastAsia="Microsoft JhengHei" w:cs="Microsoft JhengHei"/>
          <w:b w:val="0"/>
          <w:sz w:val="19"/>
        </w:rPr>
        <w:t>2026/08/18 盤後場次補收錄｜見報 2026/08/17 工商時報／時報記者莊丙農｜產業：航空運輸－客貨運</w:t>
      </w:r>
    </w:p>
    <w:p>
      <w:pPr>
        <w:spacing w:before="40" w:after="80"/>
      </w:pPr>
      <w:r>
        <w:rPr>
          <w:rFonts w:ascii="Microsoft JhengHei" w:hAnsi="Microsoft JhengHei" w:eastAsia="Microsoft JhengHei" w:cs="Microsoft JhengHei"/>
          <w:b/>
          <w:sz w:val="26"/>
        </w:rPr>
        <w:t>一、評等／目標價摘要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券商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本土法人（未具名）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評等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買進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目標價（新／舊）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48 元／原文未載前值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EPS 預估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Q3 上修至 1.1 元以上；2026／2027 年 EPS 上修 14%／18.7%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營收預估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2026／2027 年上修 4.9%／7.8%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對照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FactSet 外資共識 47.75 元（評等日 20260817，由 46.25 上修 3.24%）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表列現價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41.9 元（鉅亨表對應 08/17 收盤）</w:t>
            </w:r>
          </w:p>
        </w:tc>
      </w:tr>
      <w:tr>
        <w:tc>
          <w:tcPr>
            <w:tcW w:type="dxa" w:w="204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隱含空間（本系統回算）</w:t>
            </w:r>
          </w:p>
        </w:tc>
        <w:tc>
          <w:tcPr>
            <w:tcW w:type="dxa" w:w="759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 w:cs="Microsoft JhengHei"/>
                <w:b w:val="0"/>
                <w:sz w:val="20"/>
              </w:rPr>
              <w:t>48 元 +14.56%；本土法人 48 元與外資共識 47.75 元幾乎一致（差 0.52%）</w:t>
            </w:r>
          </w:p>
        </w:tc>
      </w:tr>
    </w:tbl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sz w:val="26"/>
        </w:rPr>
        <w:t>二、論點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・★本則的核心論點是「Q2 就是今年獲利低點」：Q2 合併營收 677.7 億元、年增 22.5%，但受航空燃油價格季增 110% 衝擊，稅後純益 38.48 億元、年減 42.49%，EPS 0.71 元。客、貨運量分別年增 10% 及 3%，抵銷高價燃油衝擊，EPS 仍優於法人預期 40%。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・上半年：合併營收 1,282.86 億元、年增 16.4%，稅後純益 121.16 億元、年減僅 4.01%，EPS 2.24 元。★注意上半年獲利年減幅度（－4.01%）遠小於 Q2 單季（－42.49%），代表 Q1 基期較佳、Q2 為單季谷底，與貨櫃三雄的獲利結構完全相反。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・Q3 客運動能：進入暑假旅遊及探親旺季，載客率維持高檔、票價季增中個位數，且新開航台北－華盛頓航線。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・★Q3 貨運動能為本則最強論點：高科技產品出貨動能續強，7 月單位收益年增 38%；即便後續燃油附加費將隨油價調降，但在高時效貨物需求強勁下，預期年增率將保持大幅成長。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・成本面轉折：油價 6 月至今均價下滑至 135 美元／桶，法人據此預估 Q3 毛利率季增 5.4 個百分點、較原預估上修 1.1 個百分點，並上修 Q3 EPS 至 1.1 元以上。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・今年前 7 月載客率年增 3.8 個百分點，貨運量價齊揚；法人亦樂觀看待 2027 年客貨運價量持續強勁，據此上修 2026／2027 年營收 4.9%／7.8%、EPS 14%／18.7%。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sz w:val="26"/>
        </w:rPr>
        <w:t>三、風險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・★整套多頭邏輯的支點是「油價回落」：法人以 6 月至今均價 135 美元／桶為基礎上修毛利率。但本場次（08/18）美伊談判破局、美方明言不延長 60 天窗口，布蘭特原油已重回 90 美元以上，油價方向與本則假設相反，此為見報後一日即出現的反向變數，建議旺來把「油價是否續漲」列為單一關鍵追蹤指標。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・★長榮航為航空運輸，與本系統近期大量收錄的貨櫃三雄（長榮 2603／陽明 2609／萬海 2615）產業結構完全不同，運價、燃油、供需邏輯均不可互相套用，尤其不可與「長榮」（2603）混淆。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・中東航線風險：中東戰事升溫將同時推升燃油成本與航線繞飛成本，原文未做情境試算。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・券商未具名，未載目標價前值（無法計算調整幅度）、未載報告出具日期、未揭露目標本益比與評價年度，48 元無法回算。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・Q3 EPS 1.1 元以上與毛利率季增 5.4 個百分點均為預估值而非實績。</w:t>
      </w:r>
    </w:p>
    <w:p>
      <w:pPr>
        <w:spacing w:after="40"/>
        <w:ind w:left="283" w:hanging="227"/>
      </w:pPr>
      <w:r>
        <w:rPr>
          <w:rFonts w:ascii="Microsoft JhengHei" w:hAnsi="Microsoft JhengHei" w:eastAsia="Microsoft JhengHei" w:cs="Microsoft JhengHei"/>
          <w:b w:val="0"/>
          <w:sz w:val="21"/>
        </w:rPr>
        <w:t>・本則為新聞轉述非報告原文，且為本系統前一場次遺漏之補收錄。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sz w:val="26"/>
        </w:rPr>
        <w:t>四、來源連結</w:t>
      </w:r>
    </w:p>
    <w:p>
      <w:pPr>
        <w:spacing w:after="40"/>
        <w:ind w:left="227"/>
      </w:pPr>
      <w:r>
        <w:rPr>
          <w:rFonts w:ascii="Microsoft JhengHei" w:hAnsi="Microsoft JhengHei" w:eastAsia="Microsoft JhengHei" w:cs="Microsoft JhengHei"/>
          <w:b w:val="0"/>
          <w:sz w:val="18"/>
        </w:rPr>
        <w:t>・工商時報 20260817700837｜長榮航獲利谷底浮現 本土法人看好H2、目標價喊48元</w:t>
      </w:r>
    </w:p>
    <w:p>
      <w:pPr>
        <w:spacing w:after="80"/>
        <w:ind w:left="454"/>
      </w:pPr>
      <w:r>
        <w:rPr>
          <w:rFonts w:ascii="Microsoft JhengHei" w:hAnsi="Microsoft JhengHei" w:eastAsia="Microsoft JhengHei" w:cs="Microsoft JhengHei"/>
          <w:b w:val="0"/>
          <w:color w:val="1F4E79"/>
          <w:sz w:val="16"/>
        </w:rPr>
        <w:t>https://www.ctee.com.tw/news/20260817700837-430201</w:t>
      </w:r>
    </w:p>
    <w:p>
      <w:pPr>
        <w:spacing w:after="40"/>
        <w:ind w:left="227"/>
      </w:pPr>
      <w:r>
        <w:rPr>
          <w:rFonts w:ascii="Microsoft JhengHei" w:hAnsi="Microsoft JhengHei" w:eastAsia="Microsoft JhengHei" w:cs="Microsoft JhengHei"/>
          <w:b w:val="0"/>
          <w:sz w:val="18"/>
        </w:rPr>
        <w:t>・鉅亨網 外資券商評等表（評等日 20260818）</w:t>
      </w:r>
    </w:p>
    <w:p>
      <w:pPr>
        <w:spacing w:after="80"/>
        <w:ind w:left="454"/>
      </w:pPr>
      <w:r>
        <w:rPr>
          <w:rFonts w:ascii="Microsoft JhengHei" w:hAnsi="Microsoft JhengHei" w:eastAsia="Microsoft JhengHei" w:cs="Microsoft JhengHei"/>
          <w:b w:val="0"/>
          <w:color w:val="1F4E79"/>
          <w:sz w:val="16"/>
        </w:rPr>
        <w:t>https://www.cnyes.com/twstock/board/ratediff.aspx?gt=all&amp;gp=rate</w:t>
      </w:r>
    </w:p>
    <w:p>
      <w:pPr>
        <w:spacing w:after="120" w:before="0"/>
      </w:pPr>
    </w:p>
    <w:p>
      <w:pPr>
        <w:spacing w:after="0" w:before="0"/>
      </w:pPr>
      <w:r>
        <w:rPr>
          <w:rFonts w:ascii="Microsoft JhengHei" w:hAnsi="Microsoft JhengHei" w:eastAsia="Microsoft JhengHei" w:cs="Microsoft JhengHei"/>
          <w:b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