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長榮航（2618）｜台新證券（法人） 買進 目標價 50 元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早盤場次｜2026/09/04 03:00 工商時報 A31 權證版 楊淨淳（副標註明台新證券）｜產業：航空運輸－客貨運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台新證券（★副標具名，內文稱「法人」）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買進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50（★前值未載）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09/03 收 42.8 元回算隱含 +16.8%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2026/09/04｜工商時報 20260904700294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既有序列：第一金證券 07/27 看多 48；本土法人 08/17 買進 48；FactSet 共識 08/14 46.25；本土投顧 08/24 調升至買進（未載 TP）。本則 50 元為本系統最高紀錄。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8 月營收有望繳佳績；客運受惠暑期旺季、赴外旅遊需求及新增華盛頓航線，預估今年客運營收年增 12%～15%。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貨運受 AI 產業與傳統空運旺季帶動，預計今年貨運營收年增 15%～20%；客貨運均雙位數成長。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下半年航空燃油均價預估低於上半年，成本壓力減輕。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★前值未載；原文未載風險。美伊衝突推升油價（WTI 約 91 美元）為潛在成本風險，與「下半年油價低於上半年」假設相左。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Q2 曾因燃油價格季增 110% 使稅後純益年減 42%，獲利對油價敏感度高。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https://www.ctee.com.tw/news/20260904700294-430203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